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X6e60029685b133858a13c26633ed2457da097b5"/>
    <w:p>
      <w:pPr>
        <w:pStyle w:val="Heading1"/>
      </w:pPr>
      <w:r>
        <w:t xml:space="preserve">Safety-Relevant Evaluation of Machine-Learning Gas-Hazard Monitoring at the Edge: Accuracy Rankings Do Not Predict Missed-Hazard or Escalation Behavior</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 Data Science and Engineering Analytics.</w:t>
      </w:r>
    </w:p>
    <w:p>
      <w:r>
        <w:pict>
          <v:rect style="width:0;height:1.5pt" o:hralign="center" o:hrstd="t" o:hr="t"/>
        </w:pict>
      </w:r>
    </w:p>
    <w:bookmarkStart w:id="20" w:name="summary"/>
    <w:p>
      <w:pPr>
        <w:pStyle w:val="Heading2"/>
      </w:pPr>
      <w:r>
        <w:t xml:space="preserve">Summary</w:t>
      </w:r>
    </w:p>
    <w:p>
      <w:pPr>
        <w:pStyle w:val="FirstParagraph"/>
      </w:pPr>
      <w:r>
        <w:t xml:space="preserve">Fixed gas detection at wellpads, tank batteries, compressor stations, and gas-processing facilities produces far more abnormal indications than an operator can act on. The engineering difficulty is rarely the absence of a signal; it is deciding, under degraded and ambiguous evidence, which indication warrants which response. Machine-learning studies of gas detection are ranked almost universally by classification accuracy — a metric that is silent on the two quantities that determine whether a monitoring system is safe to field: how often a hazard draws no response, and how often clean conditions draw a high-severity one.</w:t>
      </w:r>
    </w:p>
    <w:p>
      <w:pPr>
        <w:pStyle w:val="BodyText"/>
      </w:pPr>
      <w:r>
        <w:t xml:space="preserve">We evaluate an edge-deployable monitoring pipeline — thermal-image classification, normal-only sensor anomaly scoring, cost-sensitive action assignment, and locally generated natural-language explanation — under a safety-relevant metric set rather than accuracy alone. Evaluation uses the public MultimodalGasData corpus (Narkhede et al. 2022) with a leakage-controlled block-wise holdout and a 20-window embargo. The corpus contains laboratory surrogates — incense smoke, alcohol-based vapor, and their mixture — not hydrocarbons; results therefore characterize evaluation methodology on a representative metal-oxide sensor array rather than field detection performance.</w:t>
      </w:r>
    </w:p>
    <w:p>
      <w:pPr>
        <w:pStyle w:val="BodyText"/>
      </w:pPr>
      <w:r>
        <w:t xml:space="preserve">Three findings follow. First, accuracy ranking carries no information about safety behavior: eight model families spanning tree ensembles, kernel methods, feedforward and recurrent networks, and offline reinforcement learning fall within 3.3 accuracy points of one another (0.944–0.977) on the block-wise holdout, a range this design cannot resolve, yet separate by two orders of magnitude in missed-hazard rate when one hazardous class is withheld from training — 18.7% (95% Clopper–Pearson upper bound 20.4%) for a multilayer perceptron against a 0.19% bound for three other models. Second, missed-hazard rate is itself insufficient: on a second withheld hazardous class, four models with miss rates bounded below 0.83% escalate between 24.9% and 100% of hazardous windows to alarm-grade action, and the shortfall is invisible to a miss metric that counts only the fully passive response. Gradient boosting escalates all such windows; the cost-weighted policy escalates 29.8 ± 8.6%. Third, cost asymmetry swept from 1:1 to 20:1 changes no observed miss rate on this corpus and degrades accuracy above 6:1, because a benchmark this separable admits no error surface for a safety objective to reshape.</w:t>
      </w:r>
    </w:p>
    <w:p>
      <w:pPr>
        <w:pStyle w:val="BodyText"/>
      </w:pPr>
      <w:r>
        <w:t xml:space="preserve">On a Raspberry Pi 4, decoupling explanation from the decision path and quantizing to INT8 reduce the deployable path from 14.8 s to 235 ms, at a cost of one high-severity false alarm in 316 clean windows — which, expressed as alarm burden at the 0.5 Hz sampling cadence, is 5.8 alarms per hour from a single detector.</w:t>
      </w:r>
    </w:p>
    <w:p>
      <w:pPr>
        <w:pStyle w:val="BodyText"/>
      </w:pPr>
      <w:r>
        <w:t xml:space="preserve">We conclude that missed-hazard behavior, escalation adequacy, false-alarm burden, degradation under sensor loss and calibration drift, and confidence bounds on every zero count should be reported as standard alongside accuracy in machine-learning studies of gas-hazard monitoring.</w:t>
      </w:r>
    </w:p>
    <w:p>
      <w:pPr>
        <w:pStyle w:val="BodyText"/>
      </w:pPr>
      <w:r>
        <w:rPr>
          <w:bCs/>
          <w:b/>
        </w:rPr>
        <w:t xml:space="preserve">Keywords:</w:t>
      </w:r>
      <w:r>
        <w:t xml:space="preserve"> </w:t>
      </w:r>
      <w:r>
        <w:t xml:space="preserve">gas-hazard monitoring; safety-relevant evaluation; cost-sensitive learning; distribution shift; alarm management; edge deployment;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Major process-safety incidents are seldom preceded by silence. More often the warning is present, distributed across several indications, and never converted into timely and proportionate action. In the eleven minutes before the Milford Haven refinery explosion, the control-room operator received 275 alarms (Goel et al. 2017). The failure was not sensing. It was the conversion of sensed evidence into a decision.</w:t>
      </w:r>
    </w:p>
    <w:p>
      <w:pPr>
        <w:pStyle w:val="BodyText"/>
      </w:pPr>
      <w:r>
        <w:t xml:space="preserve">That distinction is sharp at upstream and midstream facilities. Wellpads, tank batteries, compressor stations, and gas-processing plants carry fixed point-gas detectors — commonly low-cost metal-oxide-semiconductor (MOX) elements — feeding alarm systems that in many installations already operate at or beyond the long-term average alarm rates that industry guidance considers manageable for a single operator position (EEMUA 2013; ISA 2016). The same facilities face rising obligation to detect and act on fugitive hydrocarbon release, where the required response is simultaneously a safety action and an emissions action. In both cases the operational question is not</w:t>
      </w:r>
      <w:r>
        <w:t xml:space="preserve"> </w:t>
      </w:r>
      <w:r>
        <w:rPr>
          <w:iCs/>
          <w:i/>
        </w:rPr>
        <w:t xml:space="preserve">what gas is present</w:t>
      </w:r>
      <w:r>
        <w:t xml:space="preserve"> </w:t>
      </w:r>
      <w:r>
        <w:t xml:space="preserve">but</w:t>
      </w:r>
      <w:r>
        <w:t xml:space="preserve"> </w:t>
      </w:r>
      <w:r>
        <w:rPr>
          <w:iCs/>
          <w:i/>
        </w:rPr>
        <w:t xml:space="preserve">what should be done now, and how confident must we be to do it</w:t>
      </w:r>
      <w:r>
        <w:t xml:space="preserve">.</w:t>
      </w:r>
    </w:p>
    <w:p>
      <w:pPr>
        <w:pStyle w:val="BodyText"/>
      </w:pPr>
      <w:r>
        <w:t xml:space="preserve">Machine learning has been applied extensively to the first question and scarcely to the second. Gas-detection and classification models are ranked by classification accuracy, and on established benchmarks that ranking has saturated: reported accuracies on the corpus used in this study span roughly 93–99.7% across more than ten peer-reviewed studies (Narkhede et al. 2021; Faleh and Kachouri 2023; El Barkani et al. 2024; Sharma et al. 2024; Zhang and Zhang 2025). When a benchmark saturates, differences among the leading methods stop being informative about deployment, and the interesting question becomes what the accuracy ranking is failing to measure.</w:t>
      </w:r>
    </w:p>
    <w:bookmarkStart w:id="21" w:name="Xbb0a48a9036bbdf1a3ead0358aaeb68106ac59a"/>
    <w:p>
      <w:pPr>
        <w:pStyle w:val="Heading3"/>
      </w:pPr>
      <w:r>
        <w:t xml:space="preserve">1.1 Accuracy is a symmetric metric applied to an asymmetric problem</w:t>
      </w:r>
    </w:p>
    <w:p>
      <w:pPr>
        <w:pStyle w:val="FirstParagraph"/>
      </w:pPr>
      <w:r>
        <w:t xml:space="preserve">In a monitoring context the error classes are not exchangeable, and no single scalar orders them:</w:t>
      </w:r>
    </w:p>
    <w:p>
      <w:pPr>
        <w:numPr>
          <w:ilvl w:val="0"/>
          <w:numId w:val="1001"/>
        </w:numPr>
        <w:pStyle w:val="Compact"/>
      </w:pPr>
      <w:r>
        <w:t xml:space="preserve">A hazardous condition that draws no response forfeits the intervention window entirely.</w:t>
      </w:r>
    </w:p>
    <w:p>
      <w:pPr>
        <w:numPr>
          <w:ilvl w:val="0"/>
          <w:numId w:val="1001"/>
        </w:numPr>
        <w:pStyle w:val="Compact"/>
      </w:pPr>
      <w:r>
        <w:t xml:space="preserve">A hazardous condition that draws a sub-alarm response — increased sampling, a request for verification — preserves part of that window but is not equivalent to a correct escalation, because no operator is notified.</w:t>
      </w:r>
    </w:p>
    <w:p>
      <w:pPr>
        <w:numPr>
          <w:ilvl w:val="0"/>
          <w:numId w:val="1001"/>
        </w:numPr>
        <w:pStyle w:val="Compact"/>
      </w:pPr>
      <w:r>
        <w:t xml:space="preserve">A clean condition that draws a high-severity response consumes operator attention and, at sufficient rate, degrades the alarm system on which later hazards depend (Laberge et al. 2014).</w:t>
      </w:r>
    </w:p>
    <w:p>
      <w:pPr>
        <w:numPr>
          <w:ilvl w:val="0"/>
          <w:numId w:val="1001"/>
        </w:numPr>
        <w:pStyle w:val="Compact"/>
      </w:pPr>
      <w:r>
        <w:t xml:space="preserve">A hazardous condition that draws the</w:t>
      </w:r>
      <w:r>
        <w:t xml:space="preserve"> </w:t>
      </w:r>
      <w:r>
        <w:rPr>
          <w:iCs/>
          <w:i/>
        </w:rPr>
        <w:t xml:space="preserve">wrong</w:t>
      </w:r>
      <w:r>
        <w:t xml:space="preserve"> </w:t>
      </w:r>
      <w:r>
        <w:t xml:space="preserve">high-severity response is, in most operating regimes, nearly as good as the right one.</w:t>
      </w:r>
    </w:p>
    <w:p>
      <w:pPr>
        <w:pStyle w:val="FirstParagraph"/>
      </w:pPr>
      <w:r>
        <w:t xml:space="preserve">A model ranked first on accuracy may be ranked last on any of these, and nothing in an accuracy table reveals which. This is not a hypothetical concern: it is what the present study observes.</w:t>
      </w:r>
    </w:p>
    <w:bookmarkEnd w:id="21"/>
    <w:bookmarkStart w:id="22" w:name="what-is-established-and-what-is-not"/>
    <w:p>
      <w:pPr>
        <w:pStyle w:val="Heading3"/>
      </w:pPr>
      <w:r>
        <w:t xml:space="preserve">1.2 What is established and what is not</w:t>
      </w:r>
    </w:p>
    <w:p>
      <w:pPr>
        <w:pStyle w:val="FirstParagraph"/>
      </w:pPr>
      <w:r>
        <w:t xml:space="preserve">The component technologies are mature. Reconstruction-based models trained on normal operation detect departures from baseline in multivariate sensor streams (Malhotra et al. 2016), including in field-validated pipeline settings (Liang et al. 2024). Vision models classify thermal and optical gas signatures at embedded-device speeds (Korjani et al. 2024; Jocher et al. 2023). Cost-sensitive learning gives a principled account of unequal error costs (Elkan 2001). Multimodal fusion of thermal imagery with MOX arrays improves gas classification relative to either modality alone (Narkhede et al. 2021, 2022). Compact language models make local explanation feasible without transmitting monitoring data off site (Dehnaw et al. 2024).</w:t>
      </w:r>
    </w:p>
    <w:p>
      <w:pPr>
        <w:pStyle w:val="BodyText"/>
      </w:pPr>
      <w:r>
        <w:t xml:space="preserve">What is not established is how these components behave when ranked by anything other than accuracy. Specifically:</w:t>
      </w:r>
    </w:p>
    <w:p>
      <w:pPr>
        <w:numPr>
          <w:ilvl w:val="0"/>
          <w:numId w:val="1002"/>
        </w:numPr>
        <w:pStyle w:val="Compact"/>
      </w:pPr>
      <w:r>
        <w:t xml:space="preserve">whether accuracy-ranked model selection preserves the ranking under a missed-hazard criterion;</w:t>
      </w:r>
    </w:p>
    <w:p>
      <w:pPr>
        <w:numPr>
          <w:ilvl w:val="0"/>
          <w:numId w:val="1002"/>
        </w:numPr>
        <w:pStyle w:val="Compact"/>
      </w:pPr>
      <w:r>
        <w:t xml:space="preserve">whether models that agree on in-distribution data continue to agree when the hazard is one they were never trained on — the condition that matters most, since a fielded detector will eventually meet a release it has not seen;</w:t>
      </w:r>
    </w:p>
    <w:p>
      <w:pPr>
        <w:numPr>
          <w:ilvl w:val="0"/>
          <w:numId w:val="1002"/>
        </w:numPr>
        <w:pStyle w:val="Compact"/>
      </w:pPr>
      <w:r>
        <w:t xml:space="preserve">whether missed-hazard rate is itself sufficient, or whether it can be satisfied by under-escalation that a miss count does not register;</w:t>
      </w:r>
    </w:p>
    <w:p>
      <w:pPr>
        <w:numPr>
          <w:ilvl w:val="0"/>
          <w:numId w:val="1002"/>
        </w:numPr>
        <w:pStyle w:val="Compact"/>
      </w:pPr>
      <w:r>
        <w:t xml:space="preserve">whether these behaviors survive the arithmetic, memory, and thermal constraints of the low-cost edge hardware on which such systems are actually installed.</w:t>
      </w:r>
    </w:p>
    <w:p>
      <w:pPr>
        <w:pStyle w:val="FirstParagraph"/>
      </w:pPr>
      <w:r>
        <w:t xml:space="preserve">This paper addresses these four questions on a public benchmark, under a leakage-controlled protocol, with confidence bounds attached to every zero count.</w:t>
      </w:r>
    </w:p>
    <w:bookmarkEnd w:id="22"/>
    <w:bookmarkStart w:id="23" w:name="contributions"/>
    <w:p>
      <w:pPr>
        <w:pStyle w:val="Heading3"/>
      </w:pPr>
      <w:r>
        <w:t xml:space="preserve">1.3 Contributions</w:t>
      </w:r>
    </w:p>
    <w:p>
      <w:pPr>
        <w:pStyle w:val="FirstParagraph"/>
      </w:pPr>
      <w:r>
        <w:rPr>
          <w:bCs/>
          <w:b/>
        </w:rPr>
        <w:t xml:space="preserve">A safety-relevant evaluation protocol for gas-monitoring models.</w:t>
      </w:r>
      <w:r>
        <w:t xml:space="preserve"> </w:t>
      </w:r>
      <w:r>
        <w:t xml:space="preserve">The protocol comprises a leakage-controlled block-wise holdout with an explicit temporal embargo; a five-level action target that distinguishes missed hazard from under-escalation from high-severity false alarm; leave-one-class-out (LOCO) evaluation against an unseen hazard; a graded perturbation suite covering additive noise, calibration drift, and sensor-channel loss; and Clopper–Pearson bounds on every zero-count claim. To our knowledge this combination has not previously been applied to a MOX gas-detection benchmark.</w:t>
      </w:r>
    </w:p>
    <w:p>
      <w:pPr>
        <w:pStyle w:val="BodyText"/>
      </w:pPr>
      <w:r>
        <w:rPr>
          <w:bCs/>
          <w:b/>
        </w:rPr>
        <w:t xml:space="preserve">Evidence that accuracy ranking is uninformative about safety behavior.</w:t>
      </w:r>
      <w:r>
        <w:t xml:space="preserve"> </w:t>
      </w:r>
      <w:r>
        <w:t xml:space="preserve">Eight model families span 3.3 accuracy points on the block-wise holdout but separate by a factor of approximately 100 in out-of-distribution missed-hazard rate. The highest in-distribution accuracy in our comparison belongs to a random forest that plays no part in the safety argument.</w:t>
      </w:r>
    </w:p>
    <w:p>
      <w:pPr>
        <w:pStyle w:val="BodyText"/>
      </w:pPr>
      <w:r>
        <w:rPr>
          <w:bCs/>
          <w:b/>
        </w:rPr>
        <w:t xml:space="preserve">Evidence that missed-hazard rate is necessary but not sufficient.</w:t>
      </w:r>
      <w:r>
        <w:t xml:space="preserve"> </w:t>
      </w:r>
      <w:r>
        <w:t xml:space="preserve">On an unseen hazardous class, models with statistically indistinguishable miss rates differ by a factor of 3.4 in the proportion of hazardous windows escalated to alarm-grade action, and the model with the better miss rate has the worse escalation rate. A metric set reporting misses alone selects the wrong model on this evidence.</w:t>
      </w:r>
    </w:p>
    <w:p>
      <w:pPr>
        <w:pStyle w:val="BodyText"/>
      </w:pPr>
      <w:r>
        <w:rPr>
          <w:bCs/>
          <w:b/>
        </w:rPr>
        <w:t xml:space="preserve">Two negative results, reported in full.</w:t>
      </w:r>
      <w:r>
        <w:t xml:space="preserve"> </w:t>
      </w:r>
      <w:r>
        <w:t xml:space="preserve">Cost asymmetry produces no measurable change in miss rate at any ratio from 1:1 to 20:1 and degrades accuracy above 6:1; and a deterministic label-function reference attains the accuracy ceiling by construction, establishing that any benefit from a learned policy on this corpus must lie in degraded conditions rather than nominal ones.</w:t>
      </w:r>
    </w:p>
    <w:p>
      <w:pPr>
        <w:pStyle w:val="BodyText"/>
      </w:pPr>
      <w:r>
        <w:rPr>
          <w:bCs/>
          <w:b/>
        </w:rPr>
        <w:t xml:space="preserve">An edge-deployment characterization</w:t>
      </w:r>
      <w:r>
        <w:t xml:space="preserve"> </w:t>
      </w:r>
      <w:r>
        <w:t xml:space="preserve">quantifying the latency, footprint, quantization, and sustained-thermal costs of running the full pipeline within a 2 s sampling budget on a Raspberry Pi 4, including the conversion of false-alarm rate into alarm burden per operator per hour.</w:t>
      </w:r>
    </w:p>
    <w:p>
      <w:pPr>
        <w:pStyle w:val="BodyText"/>
      </w:pPr>
      <w:r>
        <w:t xml:space="preserve">We do not claim to advance the classification state of the art on this corpus, and we do not believe that would be a useful thing to advance. The benchmark is saturated. The open question is what the saturated numbers fail to measure.</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3af6cee1dcf1039c598ce6aecdba991827f9461"/>
    <w:p>
      <w:pPr>
        <w:pStyle w:val="Heading3"/>
      </w:pPr>
      <w:r>
        <w:t xml:space="preserve">2.1 Leak detection and the gap between indication and response</w:t>
      </w:r>
    </w:p>
    <w:p>
      <w:pPr>
        <w:pStyle w:val="FirstParagraph"/>
      </w:pPr>
      <w:r>
        <w:t xml:space="preserve">Gas-hazard detection rests on an established base of hardware- and software-based methods (Murvay and Silea 2012; Adegboye et al. 2019). Hardware approaches include distributed acoustic and fiber-optic sensing, vapor sensing, and negative-pressure-wave detection; software approaches include real-time transient modeling, mass balance, statistical analysis, and model-based diagnostics (Zhang et al. 2013; Bustnes et al. 2011). These methods have materially improved identification and localization, and their principal limitation is uneven performance under practical operating conditions rather than absence of capability (Han and Kim 2014).</w:t>
      </w:r>
    </w:p>
    <w:p>
      <w:pPr>
        <w:pStyle w:val="BodyText"/>
      </w:pPr>
      <w:r>
        <w:t xml:space="preserve">For the present argument the more consequential limitation is different: these methods terminate in a leak indication, a location estimate, or a concentration estimate. Such outputs are necessary for loss prevention but are not response decisions, and the literature that evaluates them does not measure whether the downstream response would be adequate.</w:t>
      </w:r>
    </w:p>
    <w:bookmarkEnd w:id="25"/>
    <w:bookmarkStart w:id="26" w:name="anomaly-detection-as-an-evidence-layer"/>
    <w:p>
      <w:pPr>
        <w:pStyle w:val="Heading3"/>
      </w:pPr>
      <w:r>
        <w:t xml:space="preserve">2.2 Anomaly detection as an evidence layer</w:t>
      </w:r>
    </w:p>
    <w:p>
      <w:pPr>
        <w:pStyle w:val="FirstParagraph"/>
      </w:pPr>
      <w:r>
        <w:t xml:space="preserve">Reconstruction-based sequence models trained only on normal operation have become the standard unsupervised approach to multivariate sensor anomaly detection since the LSTM encoder–decoder of Malhotra et al. (2016), and have been applied to natural-gas pipeline monitoring with field validation (Liang et al. 2024). Their appeal for safety work is that they require no labeled examples of every hazardous condition.</w:t>
      </w:r>
    </w:p>
    <w:p>
      <w:pPr>
        <w:pStyle w:val="BodyText"/>
      </w:pPr>
      <w:r>
        <w:t xml:space="preserve">An anomaly score, however, is an intermediate quantity. It states that current behavior departs from baseline; it does not state what should be done, and it is not calibrated to hazard severity. Any use of an anomaly score inside a safety path therefore carries an obligation to demonstrate that the score ranks hazard monotonically — an obligation the literature rarely discharges, and one that we address explicitly in Section 4.1.</w:t>
      </w:r>
    </w:p>
    <w:bookmarkEnd w:id="26"/>
    <w:bookmarkStart w:id="27" w:name="X6088e40c53944f4688cef82bb8bb7e9824f805e"/>
    <w:p>
      <w:pPr>
        <w:pStyle w:val="Heading3"/>
      </w:pPr>
      <w:r>
        <w:t xml:space="preserve">2.3 Multimodal gas classification and benchmark saturation</w:t>
      </w:r>
    </w:p>
    <w:p>
      <w:pPr>
        <w:pStyle w:val="FirstParagraph"/>
      </w:pPr>
      <w:r>
        <w:t xml:space="preserve">The MultimodalGasData corpus pairs thermal frames with a seven-channel MOX array and established that fusing the two modalities improves classification over either alone (Narkhede et al. 2021, 2022). It has since become a standard benchmark, and reported accuracies have converged: 97.0% (Narkhede et al. 2021), 93.0% (Faleh and Kachouri 2023), 91.7% (El Barkani et al. 2024), 99.7% (Sharma et al. 2024), 99.7% (Zhang and Zhang 2025).</w:t>
      </w:r>
    </w:p>
    <w:p>
      <w:pPr>
        <w:pStyle w:val="BodyText"/>
      </w:pPr>
      <w:r>
        <w:t xml:space="preserve">Two features of this literature bear directly on the present work. First, the reported figures are, to our knowledge, computed on random splits over overlapping sliding windows drawn from a single recording session. Dennler et al. (2022) showed on a comparably structured MOX corpus that this protocol conflates recording time with class identity, and identified a substantial body of published work requiring re-evaluation on that basis; Vergara et al. (2012) had earlier documented the magnitude of MOX drift over long horizons. Second,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X32d500dff91c0e50e188d44908caf8fa5a132c5"/>
    <w:p>
      <w:pPr>
        <w:pStyle w:val="Heading3"/>
      </w:pPr>
      <w:r>
        <w:t xml:space="preserve">2.4 Cost-sensitive learning and safety objectives</w:t>
      </w:r>
    </w:p>
    <w:p>
      <w:pPr>
        <w:pStyle w:val="FirstParagraph"/>
      </w:pPr>
      <w:r>
        <w:t xml:space="preserve">That error costs are unequal, and that classifiers should be trained accordingly, has been formalized since Elkan (2001), and cost-sensitive reweighting is now routine. What is much less often reported is whether a given cost asymmetry produced a measurable effect on the specific error it was introduced to suppress. Section 4.4 reports such a test, and returns a negative result that we believe is generalizable to any saturated, well-separated benchmark.</w:t>
      </w:r>
    </w:p>
    <w:bookmarkEnd w:id="28"/>
    <w:bookmarkStart w:id="29" w:name="X07ed571b985bfc346768dd1c1bd0f4af44ad736"/>
    <w:p>
      <w:pPr>
        <w:pStyle w:val="Heading3"/>
      </w:pPr>
      <w:r>
        <w:t xml:space="preserve">2.5 Agentic coordination and operator-facing explanation</w:t>
      </w:r>
    </w:p>
    <w:p>
      <w:pPr>
        <w:pStyle w:val="FirstParagraph"/>
      </w:pPr>
      <w:r>
        <w:t xml:space="preserve">Systems that coordinate specialized models toward a larger task have been applied in the energy sector to well-construction assistance, completions optimization, and enterprise modeling workflows (Sabbagh et al. 2024; Santiago et al. 2025; Jessen and Roshchin 2025). These are analytical and advisory settings rather than real-time monitoring, and their evaluation criteria are correspondingly different.</w:t>
      </w:r>
    </w:p>
    <w:p>
      <w:pPr>
        <w:pStyle w:val="BodyText"/>
      </w:pPr>
      <w:r>
        <w:t xml:space="preserve">Explanation matters for operator-facing safety systems because trust, review, and post-incident accountability depend on it. It also introduces a hazard of its own: a language model can produce an explanation that is fluent and inconsistent with the decision it purports to explain, which in a control room is worse than no explanation. Our treatment of this constraint is architectural and is described in Section 3.3.</w:t>
      </w:r>
    </w:p>
    <w:bookmarkEnd w:id="29"/>
    <w:bookmarkStart w:id="30" w:name="positioning-of-this-study"/>
    <w:p>
      <w:pPr>
        <w:pStyle w:val="Heading3"/>
      </w:pPr>
      <w:r>
        <w:t xml:space="preserve">2.6 Positioning of this study</w:t>
      </w:r>
    </w:p>
    <w:p>
      <w:pPr>
        <w:pStyle w:val="FirstParagraph"/>
      </w:pPr>
      <w:r>
        <w:rPr>
          <w:bCs/>
          <w:b/>
        </w:rPr>
        <w:t xml:space="preserve">Table 1</w:t>
      </w:r>
      <w:r>
        <w:t xml:space="preserve"> </w:t>
      </w:r>
      <w:r>
        <w:t xml:space="preserve">summarizes representative prior work and the specific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sensor streams</w:t>
            </w:r>
          </w:p>
        </w:tc>
        <w:tc>
          <w:tcPr/>
          <w:p>
            <w:pPr>
              <w:pStyle w:val="Compact"/>
              <w:jc w:val="left"/>
            </w:pPr>
            <w:r>
              <w:t xml:space="preserve">Score is not calibrated to hazard severity; no response mapping</w:t>
            </w:r>
          </w:p>
        </w:tc>
      </w:tr>
      <w:tr>
        <w:tc>
          <w:tcPr/>
          <w:p>
            <w:pPr>
              <w:pStyle w:val="Compact"/>
              <w:jc w:val="left"/>
            </w:pPr>
            <w:r>
              <w:t xml:space="preserve">Liang et al. (2024)</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Detection endpoint only;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Performance under degraded sensing not characterized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Demonstrates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t xml:space="preserve">The contribution of the present work sits in the right-hand column: not a new architecture, but evidence about what the standard evaluation of these architectures fails to reveal.</w:t>
      </w:r>
    </w:p>
    <w:p>
      <w:r>
        <w:pict>
          <v:rect style="width:0;height:1.5pt" o:hralign="center" o:hrstd="t" o:hr="t"/>
        </w:pict>
      </w:r>
    </w:p>
    <w:bookmarkEnd w:id="30"/>
    <w:bookmarkEnd w:id="31"/>
    <w:bookmarkStart w:id="38" w:name="methodology"/>
    <w:p>
      <w:pPr>
        <w:pStyle w:val="Heading2"/>
      </w:pPr>
      <w:r>
        <w:t xml:space="preserve">3. Methodology</w:t>
      </w:r>
    </w:p>
    <w:bookmarkStart w:id="32" w:name="dataset-and-preprocessing"/>
    <w:p>
      <w:pPr>
        <w:pStyle w:val="Heading3"/>
      </w:pPr>
      <w:r>
        <w:t xml:space="preserve">3.1 Dataset and preprocessing</w:t>
      </w:r>
    </w:p>
    <w:p>
      <w:pPr>
        <w:pStyle w:val="FirstParagraph"/>
      </w:pPr>
      <w:r>
        <w:t xml:space="preserve">Evaluation uses the public MultimodalGasData corpus (Narkhede et al. 2022; Mendeley Data, CC BY 4.0), which pairs a seven-channel MQ-series MOX array with synchronized 206 × 156 thermal frames from a Seek Compact camera. The corpus comprises 6,400 labeled samples in four classes of 1,600 samples each: clean air (NoGas), incense smoke (Smoke), alcohol-based deodorant vapor (Perfume), and a smoke–vapor mixture (Mixture).</w:t>
      </w:r>
      <w:r>
        <w:t xml:space="preserve"> </w:t>
      </w:r>
      <w:r>
        <w:rPr>
          <w:bCs/>
          <w:b/>
        </w:rPr>
        <w:t xml:space="preserve">Table 2</w:t>
      </w:r>
      <w:r>
        <w:t xml:space="preserve"> </w:t>
      </w:r>
      <w:r>
        <w:t xml:space="preserve">lists the sensor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Primary detection target</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(NH₃, benzene, NOₓ, CO₂)</w:t>
            </w:r>
          </w:p>
        </w:tc>
      </w:tr>
    </w:tbl>
    <w:p>
      <w:pPr>
        <w:pStyle w:val="BodyText"/>
      </w:pPr>
      <w:r>
        <w:rPr>
          <w:bCs/>
          <w:b/>
        </w:rPr>
        <w:t xml:space="preserve">Table 2 — MQ sensor array composition and primary detection targets.</w:t>
      </w:r>
    </w:p>
    <w:p>
      <w:pPr>
        <w:pStyle w:val="BodyText"/>
      </w:pPr>
      <w:r>
        <w:t xml:space="preserve">Two properties of this corpus govern the entire experimental design and are stated here rather than deferred to a limitations section.</w:t>
      </w:r>
    </w:p>
    <w:p>
      <w:pPr>
        <w:pStyle w:val="BodyText"/>
      </w:pPr>
      <w:r>
        <w:rPr>
          <w:bCs/>
          <w:b/>
        </w:rPr>
        <w:t xml:space="preserve">The analytes are laboratory surrogates, not hydrocarbons.</w:t>
      </w:r>
      <w:r>
        <w:t xml:space="preserve"> </w:t>
      </w:r>
      <w:r>
        <w:t xml:space="preserve">Incense smoke and alcohol-based vapor exercise the MOX transduction mechanism, the cross-sensitivity structure of the array, and its baseline drift behavior — all of which a facility detector encounters — but they do not establish detection performance for methane or heavier hydrocarbons. Every result in this paper should be read as characterizing evaluation methodology on a representative MOX array, not as a field performance estimate.</w:t>
      </w:r>
    </w:p>
    <w:p>
      <w:pPr>
        <w:pStyle w:val="BodyText"/>
      </w:pPr>
      <w:r>
        <w:rPr>
          <w:bCs/>
          <w:b/>
        </w:rPr>
        <w:t xml:space="preserve">The four classes were recorded as four contiguous blocks within a single acquisition session of approximately 90 minutes.</w:t>
      </w:r>
      <w:r>
        <w:t xml:space="preserve"> </w:t>
      </w:r>
      <w:r>
        <w:t xml:space="preserve">Within-session baseline drift is therefore confounded with class identity. This is precisely the structure that Dennler et al. (2022) showed to inflate reported accuracy on MOX benchmarks when the split is randomized, and it is the reason the split described below is not a convenience but a requirement.</w:t>
      </w:r>
    </w:p>
    <w:p>
      <w:pPr>
        <w:pStyle w:val="BodyText"/>
      </w:pPr>
      <w:r>
        <w:rPr>
          <w:bCs/>
          <w:b/>
        </w:rPr>
        <w:t xml:space="preserve">Windowing and split.</w:t>
      </w:r>
      <w:r>
        <w:t xml:space="preserve"> </w:t>
      </w:r>
      <w:r>
        <w:t xml:space="preserve">Seven-channel readings were formed into sliding windows of length 20. Consecutive windows share 19 of 20 raw rows, so a random train–test split places near-duplicate windows in both partitions; a plain sequential split is equally unsuitable because the corpus is block-ordered by class. We therefore use a leakage-controlled block-wise holdout: within each class block, the final 20% of sequential windows form the test partition and the earlier windows form the training partition, with a temporal gap of</w:t>
      </w:r>
      <w:r>
        <w:t xml:space="preserve"> </w:t>
      </w:r>
      <w:r>
        <w:rPr>
          <w:iCs/>
          <w:i/>
        </w:rPr>
        <w:t xml:space="preserve">G</w:t>
      </w:r>
      <w:r>
        <w:t xml:space="preserve"> </w:t>
      </w:r>
      <w:r>
        <w:t xml:space="preserve">= 20 windows discarded between them so that no training window shares a raw row with any test window. Normalization parameters were estimated on the training partition only and applied to the test partition without refitting. This yields 5,024 training windows and 1,276 test windows (316 NoGas; 320 each of Smoke, Mixture, and Perfume).</w:t>
      </w:r>
    </w:p>
    <w:p>
      <w:pPr>
        <w:pStyle w:val="BodyText"/>
      </w:pPr>
      <w:r>
        <w:rPr>
          <w:bCs/>
          <w:b/>
        </w:rPr>
        <w:t xml:space="preserve">The block-wise partition is generated once and is held fixed across all runs.</w:t>
      </w:r>
      <w:r>
        <w:t xml:space="preserve"> </w:t>
      </w:r>
      <w:r>
        <w:t xml:space="preserve">Reported standard deviations therefore reflect model-initialization variance and exclude data-partition variance, which is generally the larger of the two in small-sample comparison (Bouthillier et al. 2021). This qualification applies to every ± in this paper and is repeated where it changes an interpretation.</w:t>
      </w:r>
    </w:p>
    <w:bookmarkEnd w:id="32"/>
    <w:bookmarkStart w:id="33" w:name="monitoring-pipeline"/>
    <w:p>
      <w:pPr>
        <w:pStyle w:val="Heading3"/>
      </w:pPr>
      <w:r>
        <w:t xml:space="preserve">3.2 Monitoring pipeline</w:t>
      </w:r>
    </w:p>
    <w:p>
      <w:pPr>
        <w:pStyle w:val="FirstParagraph"/>
      </w:pPr>
      <w:r>
        <w:t xml:space="preserve">The pipeline (ARXIS) is organized as five components. At each inference cycle it receives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1, 2, 3, 4} and a natural-language explanation</w:t>
      </w:r>
      <w:r>
        <w:t xml:space="preserve"> </w:t>
      </w:r>
      <w:r>
        <w:rPr>
          <w:iCs/>
          <w:i/>
        </w:rPr>
        <w:t xml:space="preserve">E</w:t>
      </w:r>
      <w:r>
        <w:t xml:space="preserve">ₜ.</w:t>
      </w:r>
    </w:p>
    <w:p>
      <w:pPr>
        <w:numPr>
          <w:ilvl w:val="0"/>
          <w:numId w:val="1003"/>
        </w:numPr>
        <w:pStyle w:val="Compact"/>
      </w:pPr>
      <w:r>
        <w:t xml:space="preserve">A</w:t>
      </w:r>
      <w:r>
        <w:t xml:space="preserve"> </w:t>
      </w:r>
      <w:r>
        <w:rPr>
          <w:bCs/>
          <w:b/>
        </w:rPr>
        <w:t xml:space="preserve">perception component</w:t>
      </w:r>
      <w:r>
        <w:t xml:space="preserve"> </w:t>
      </w:r>
      <w:r>
        <w:t xml:space="preserve">classifies the thermal image into one of four classes.</w:t>
      </w:r>
    </w:p>
    <w:p>
      <w:pPr>
        <w:numPr>
          <w:ilvl w:val="0"/>
          <w:numId w:val="1003"/>
        </w:numPr>
        <w:pStyle w:val="Compact"/>
      </w:pPr>
      <w:r>
        <w:t xml:space="preserve">An</w:t>
      </w:r>
      <w:r>
        <w:t xml:space="preserve"> </w:t>
      </w:r>
      <w:r>
        <w:rPr>
          <w:bCs/>
          <w:b/>
        </w:rPr>
        <w:t xml:space="preserve">anomaly component</w:t>
      </w:r>
      <w:r>
        <w:t xml:space="preserve"> </w:t>
      </w:r>
      <w:r>
        <w:t xml:space="preserve">scores the sensor window by reconstruction error against a normal-only model.</w:t>
      </w:r>
    </w:p>
    <w:p>
      <w:pPr>
        <w:numPr>
          <w:ilvl w:val="0"/>
          <w:numId w:val="1003"/>
        </w:numPr>
        <w:pStyle w:val="Compact"/>
      </w:pPr>
      <w:r>
        <w:t xml:space="preserve">A</w:t>
      </w:r>
      <w:r>
        <w:t xml:space="preserve"> </w:t>
      </w:r>
      <w:r>
        <w:rPr>
          <w:bCs/>
          <w:b/>
        </w:rPr>
        <w:t xml:space="preserve">coordination component</w:t>
      </w:r>
      <w:r>
        <w:t xml:space="preserve"> </w:t>
      </w:r>
      <w:r>
        <w:t xml:space="preserve">assembles the decision state φₜ.</w:t>
      </w:r>
    </w:p>
    <w:p>
      <w:pPr>
        <w:numPr>
          <w:ilvl w:val="0"/>
          <w:numId w:val="1003"/>
        </w:numPr>
        <w:pStyle w:val="Compact"/>
      </w:pPr>
      <w:r>
        <w:t xml:space="preserve">A</w:t>
      </w:r>
      <w:r>
        <w:t xml:space="preserve"> </w:t>
      </w:r>
      <w:r>
        <w:rPr>
          <w:bCs/>
          <w:b/>
        </w:rPr>
        <w:t xml:space="preserve">decision component</w:t>
      </w:r>
      <w:r>
        <w:t xml:space="preserve"> </w:t>
      </w:r>
      <w:r>
        <w:t xml:space="preserve">maps φₜ to a safety action.</w:t>
      </w:r>
    </w:p>
    <w:p>
      <w:pPr>
        <w:numPr>
          <w:ilvl w:val="0"/>
          <w:numId w:val="1003"/>
        </w:numPr>
        <w:pStyle w:val="Compact"/>
      </w:pPr>
      <w:r>
        <w:t xml:space="preserve">A</w:t>
      </w:r>
      <w:r>
        <w:t xml:space="preserve"> </w:t>
      </w:r>
      <w:r>
        <w:rPr>
          <w:bCs/>
          <w:b/>
        </w:rPr>
        <w:t xml:space="preserve">reasoning component</w:t>
      </w:r>
      <w:r>
        <w:t xml:space="preserve"> </w:t>
      </w:r>
      <w:r>
        <w:t xml:space="preserve">generates an operator-facing explanation from the decision context.</w:t>
      </w:r>
    </w:p>
    <w:p>
      <w:pPr>
        <w:pStyle w:val="FirstParagraph"/>
      </w:pPr>
      <w:r>
        <w:rPr>
          <w:bCs/>
          <w:b/>
        </w:rPr>
        <w:t xml:space="preserve">The pipeline is advisory.</w:t>
      </w:r>
      <w:r>
        <w:t xml:space="preserve"> </w:t>
      </w:r>
      <w:r>
        <w:t xml:space="preserve">It occupies the alarm-management and operator-support layer and does not actuate. The action labeled</w:t>
      </w:r>
      <w:r>
        <w:t xml:space="preserve"> </w:t>
      </w:r>
      <w:r>
        <w:rPr>
          <w:iCs/>
          <w:i/>
        </w:rPr>
        <w:t xml:space="preserve">Emergency Shutdown</w:t>
      </w:r>
      <w:r>
        <w:t xml:space="preserve"> </w:t>
      </w:r>
      <w:r>
        <w:t xml:space="preserve">denotes a recommendation that the operator initiate the facility’s existing emergency shutdown procedure; it does not command a trip. The safety instrumented function remains an independent, deterministic, separately verified layer, consistent with the independence requirement of layer-of-protection analysis and with the absence of any established certification pathway for a learned component within a safety instrumented function under IEC 61511 (IEC 2016). All results reported here are obtained with the pipeline in this advisory position, and the facility’s protective function is unaffected by its removal. We regard this positioning as a design requirement rather than a caveat: a single learned component selecting across both the alarm layer and the shutdown layer would collapse two protection layers into one common-cause element.</w:t>
      </w:r>
    </w:p>
    <w:p>
      <w:pPr>
        <w:pStyle w:val="BodyText"/>
      </w:pPr>
      <w:r>
        <w:rPr>
          <w:bCs/>
          <w:b/>
        </w:rPr>
        <w:t xml:space="preserve">Table 3</w:t>
      </w:r>
      <w:r>
        <w:t xml:space="preserve"> </w:t>
      </w:r>
      <w:r>
        <w:t xml:space="preserve">defines the action space.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Operator notification and secondary sensor check</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and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initiation of the facility ESD procedure</w:t>
            </w:r>
          </w:p>
        </w:tc>
      </w:tr>
    </w:tbl>
    <w:p>
      <w:pPr>
        <w:pStyle w:val="BodyText"/>
      </w:pPr>
      <w:r>
        <w:rPr>
          <w:bCs/>
          <w:b/>
        </w:rPr>
        <w:t xml:space="preserve">Table 3 — Safety-action space and operational semantics.</w:t>
      </w:r>
      <w:r>
        <w:t xml:space="preserve"> </w:t>
      </w:r>
      <w:r>
        <w:t xml:space="preserve">Actions 3 and 4 are</w:t>
      </w:r>
      <w:r>
        <w:t xml:space="preserve"> </w:t>
      </w:r>
      <w:r>
        <w:rPr>
          <w:iCs/>
          <w:i/>
        </w:rPr>
        <w:t xml:space="preserve">alarm-grade</w:t>
      </w:r>
      <w:r>
        <w:t xml:space="preserve">: they place a notification in front of an operator. Actions 1 and 2 do not.</w:t>
      </w:r>
    </w:p>
    <w:bookmarkEnd w:id="33"/>
    <w:bookmarkStart w:id="34"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selected for its speed–footprint tradeoff on embedded hardware. Images are resized to 224 × 224 and normalized. Training used an 80/20 stratified split of the 6,400 thermal frames, pretrained-weight initialization, AdamW at learning rate 10⁻³ with cosine annealing, weight decay 10⁻⁴, batch size 32, 50 epochs, and random flip, rotation, and brightness augmentation.</w:t>
      </w:r>
    </w:p>
    <w:p>
      <w:pPr>
        <w:pStyle w:val="BodyText"/>
      </w:pPr>
      <w:r>
        <w:rPr>
          <w:iCs/>
          <w:i/>
        </w:rPr>
        <w:t xml:space="preserve">The image-level split is randomized over frames captured consecutively within a single session.</w:t>
      </w:r>
      <w:r>
        <w:t xml:space="preserve"> </w:t>
      </w:r>
      <w:r>
        <w:t xml:space="preserve">Adjacent frames are near-duplicates, so this protocol is subject to the same leakage mechanism that the sensor-side block-wise holdout is designed to exclude. Perception accuracy reported in Section 4.1 must therefore be read as an optimistic upper bound rather than a performance estimate. We report it because the perception path informs the explanation layer and the prior-work comparison, and because the inconsistency between the two protocols is itself an illustration of the paper’s argument; it is listed as an open item in Appendix A.</w:t>
      </w:r>
    </w:p>
    <w:p>
      <w:pPr>
        <w:pStyle w:val="BodyText"/>
      </w:pPr>
      <w:r>
        <w:rPr>
          <w:bCs/>
          <w:b/>
        </w:rPr>
        <w:t xml:space="preserve">Anomaly detection.</w:t>
      </w:r>
      <w:r>
        <w:t xml:space="preserve"> </w:t>
      </w:r>
      <w:r>
        <w:t xml:space="preserve">An LSTM autoencoder is trained on NoGas windows only, following the reconstruction-error approach of Malhotra et al. (2016). The encoder is a single-layer LSTM with hidden dimension 32 mapping a normalized window</w:t>
      </w:r>
      <w:r>
        <w:t xml:space="preserve"> </w:t>
      </w:r>
      <w:r>
        <w:rPr>
          <w:bCs/>
          <w:b/>
        </w:rPr>
        <w:t xml:space="preserve">X</w:t>
      </w:r>
      <w:r>
        <w:t xml:space="preserve">′ₜ to a latent state; a single-layer decoder with matching dimension reconstructs the sequence through a linear output layer. The final-step reconstruction mean-squared error is the anomaly score. Training used Adam at learning rate 10⁻³, batch size 64, for 40 epochs. The detection threshold τ was set at the 95th percentile of reconstruction error over NoGas training windows, and the score is normalized to [0, 1] using training-partition percentile bounds before being passed downstream.</w:t>
      </w:r>
    </w:p>
    <w:p>
      <w:pPr>
        <w:pStyle w:val="BodyText"/>
      </w:pPr>
      <w:r>
        <w:rPr>
          <w:bCs/>
          <w:b/>
        </w:rPr>
        <w:t xml:space="preserve">Coordination.</w:t>
      </w:r>
      <w:r>
        <w:t xml:space="preserve"> </w:t>
      </w:r>
      <w:r>
        <w:t xml:space="preserve">The coordination component constructs the 22-dimensional decision state</w:t>
      </w:r>
    </w:p>
    <w:p>
      <w:pPr>
        <w:pStyle w:val="BodyText"/>
      </w:pPr>
      <w:r>
        <w:t xml:space="preserve">    φₜ = [ ρ̃ₜ ,</w:t>
      </w:r>
      <w:r>
        <w:t xml:space="preserve"> </w:t>
      </w:r>
      <w:r>
        <w:rPr>
          <w:bCs/>
          <w:b/>
        </w:rPr>
        <w:t xml:space="preserve">X</w:t>
      </w:r>
      <w:r>
        <w:t xml:space="preserve">ₜ[−1, :]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where ρ̃ₜ is the normalized anomaly score,</w:t>
      </w:r>
      <w:r>
        <w:t xml:space="preserve"> </w:t>
      </w:r>
      <w:r>
        <w:rPr>
          <w:bCs/>
          <w:b/>
        </w:rPr>
        <w:t xml:space="preserve">X</w:t>
      </w:r>
      <w:r>
        <w:t xml:space="preserve">ₜ[−1, :]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across the window. The state contains no visual term: thermal evidence informs the perception and explanation paths but not the action. Fig. 2 should be read accordingly, and this scoping is revisited in Section 6.</w:t>
      </w:r>
    </w:p>
    <w:p>
      <w:pPr>
        <w:pStyle w:val="BodyText"/>
      </w:pPr>
      <w:r>
        <w:rPr>
          <w:bCs/>
          <w:b/>
        </w:rPr>
        <w:t xml:space="preserve">Decision.</w:t>
      </w:r>
      <w:r>
        <w:t xml:space="preserve"> </w:t>
      </w:r>
      <w:r>
        <w:t xml:space="preserve">The decision component is a feedforward network with a dueling value–advantage head (Wang et al. 2016) mapping φₜ to five action scores.</w:t>
      </w:r>
      <w:r>
        <w:t xml:space="preserve"> </w:t>
      </w:r>
      <w:r>
        <w:rPr>
          <w:bCs/>
          <w:b/>
        </w:rPr>
        <w:t xml:space="preserve">It is trained by cost-weighted cross-entropy, not by reinforcement learning.</w:t>
      </w:r>
      <w:r>
        <w:t xml:space="preserve"> </w:t>
      </w:r>
      <w:r>
        <w:t xml:space="preserve">Target actions are generated by a deterministic map</w:t>
      </w:r>
      <w:r>
        <w:t xml:space="preserve"> </w:t>
      </w:r>
      <w:r>
        <w:rPr>
          <w:iCs/>
          <w:i/>
        </w:rPr>
        <w:t xml:space="preserve">a</w:t>
      </w:r>
      <w:r>
        <w:t xml:space="preserve">*(·) from ground-truth class to acceptable action set: NoGas → {0}, Smoke → {3}, Mixture → {4}, Perfume → {1, 2}. Each sample carries a scalar loss weight</w:t>
      </w:r>
      <w:r>
        <w:t xml:space="preserve"> </w:t>
      </w:r>
      <w:r>
        <w:rPr>
          <w:iCs/>
          <w:i/>
        </w:rPr>
        <w:t xml:space="preserve">w</w:t>
      </w:r>
      <w:r>
        <w:t xml:space="preserve">(</w:t>
      </w:r>
      <w:r>
        <w:rPr>
          <w:iCs/>
          <w:i/>
        </w:rPr>
        <w:t xml:space="preserve">g</w:t>
      </w:r>
      <w:r>
        <w:t xml:space="preserve">ₜ) encoding consequence asymmetry:</w:t>
      </w:r>
      <w:r>
        <w:t xml:space="preserve"> </w:t>
      </w:r>
      <w:r>
        <w:rPr>
          <w:iCs/>
          <w:i/>
        </w:rPr>
        <w:t xml:space="preserve">w</w:t>
      </w:r>
      <w:r>
        <w:t xml:space="preserve"> </w:t>
      </w:r>
      <w:r>
        <w:t xml:space="preserve">=</w:t>
      </w:r>
      <w:r>
        <w:t xml:space="preserve"> </w:t>
      </w:r>
      <w:r>
        <w:rPr>
          <w:iCs/>
          <w:i/>
        </w:rPr>
        <w:t xml:space="preserve">c</w:t>
      </w:r>
      <w:r>
        <w:t xml:space="preserve">_miss for hazardous classes (Smoke, Mixture) and</w:t>
      </w:r>
      <w:r>
        <w:t xml:space="preserve"> </w:t>
      </w:r>
      <w:r>
        <w:rPr>
          <w:iCs/>
          <w:i/>
        </w:rPr>
        <w:t xml:space="preserve">w</w:t>
      </w:r>
      <w:r>
        <w:t xml:space="preserve"> </w:t>
      </w:r>
      <w:r>
        <w:t xml:space="preserve">=</w:t>
      </w:r>
      <w:r>
        <w:t xml:space="preserve"> </w:t>
      </w:r>
      <w:r>
        <w:rPr>
          <w:iCs/>
          <w:i/>
        </w:rPr>
        <w:t xml:space="preserve">c</w:t>
      </w:r>
      <w:r>
        <w:t xml:space="preserve">_false otherwise, with 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where</w:t>
      </w:r>
      <w:r>
        <w:t xml:space="preserve"> </w:t>
      </w:r>
      <w:r>
        <w:rPr>
          <w:iCs/>
          <w:i/>
        </w:rPr>
        <w:t xml:space="preserve">p</w:t>
      </w:r>
      <w:r>
        <w:t xml:space="preserve">_θ is the softmax over action scores and</w:t>
      </w:r>
      <w:r>
        <w:t xml:space="preserve"> </w:t>
      </w:r>
      <w:r>
        <w:rPr>
          <w:iCs/>
          <w:i/>
        </w:rPr>
        <w:t xml:space="preserve">N</w:t>
      </w:r>
      <w:r>
        <w:t xml:space="preserve"> </w:t>
      </w:r>
      <w:r>
        <w:t xml:space="preserve">is the number of training samples. The deployed configuration uses</w:t>
      </w:r>
      <w:r>
        <w:t xml:space="preserve"> </w:t>
      </w:r>
      <w:r>
        <w:rPr>
          <w:iCs/>
          <w:i/>
        </w:rPr>
        <w:t xml:space="preserve">C</w:t>
      </w:r>
      <w:r>
        <w:t xml:space="preserve"> </w:t>
      </w:r>
      <w:r>
        <w:t xml:space="preserve">= 8:1; Section 4.4 reports the full sweep.</w:t>
      </w:r>
    </w:p>
    <w:p>
      <w:pPr>
        <w:pStyle w:val="BodyText"/>
      </w:pPr>
      <w:r>
        <w:t xml:space="preserve">Two consequences of Eq. 2 are stated explicitly because they bound what can be claimed.</w:t>
      </w:r>
      <w:r>
        <w:t xml:space="preserve"> </w:t>
      </w:r>
      <w:r>
        <w:rPr>
          <w:bCs/>
          <w:b/>
        </w:rPr>
        <w:t xml:space="preserve">First, the target action is a deterministic function of the class label</w:t>
      </w:r>
      <w:r>
        <w:t xml:space="preserve">, so decision accuracy is four-class classification accuracy composed with a fixed map, not a distinct quantity measured on a distinct task. What differs between the decision framing and the classification framing is the</w:t>
      </w:r>
      <w:r>
        <w:t xml:space="preserve"> </w:t>
      </w:r>
      <w:r>
        <w:rPr>
          <w:iCs/>
          <w:i/>
        </w:rPr>
        <w:t xml:space="preserve">error metric</w:t>
      </w:r>
      <w:r>
        <w:t xml:space="preserve">, not the task — and it is the error metric, not the task, that this paper’s results concern.</w:t>
      </w:r>
      <w:r>
        <w:t xml:space="preserve"> </w:t>
      </w:r>
      <w:r>
        <w:rPr>
          <w:bCs/>
          <w:b/>
        </w:rPr>
        <w:t xml:space="preserve">Second, a deterministic rule applying</w:t>
      </w:r>
      <w:r>
        <w:rPr>
          <w:bCs/>
          <w:b/>
        </w:rPr>
        <w:t xml:space="preserve"> </w:t>
      </w:r>
      <w:r>
        <w:rPr>
          <w:iCs/>
          <w:i/>
          <w:bCs/>
          <w:b/>
        </w:rPr>
        <w:t xml:space="preserve">a</w:t>
      </w:r>
      <w:r>
        <w:rPr>
          <w:bCs/>
          <w:b/>
        </w:rPr>
        <w:t xml:space="preserve">*(·) to the true label attains 100% decision accuracy by construction.</w:t>
      </w:r>
      <w:r>
        <w:t xml:space="preserve"> </w:t>
      </w:r>
      <w:r>
        <w:t xml:space="preserve">Such a rule requires the label it is meant to infer and is therefore not deployable; where it appears in this paper it is identified as a label-function reference, not a baseline.</w:t>
      </w:r>
    </w:p>
    <w:p>
      <w:pPr>
        <w:pStyle w:val="BodyText"/>
      </w:pPr>
      <w:r>
        <w:rPr>
          <w:bCs/>
          <w:b/>
        </w:rPr>
        <w:t xml:space="preserve">Reasoning.</w:t>
      </w:r>
      <w:r>
        <w:t xml:space="preserve"> </w:t>
      </w:r>
      <w:r>
        <w:t xml:space="preserve">Explanations are generated locally with Gemma 3 1B served through Ollama (Google DeepMind 2025). The prompt supplies gas class, classification confidence, normalized anomaly score and threshold, and the selected action, and requests a two- to three-sentence justification and a next step, capped at 150 tokens at temperature 0.7. Because the model is served locally, no monitoring data leaves the device.</w:t>
      </w:r>
    </w:p>
    <w:p>
      <w:pPr>
        <w:pStyle w:val="BodyText"/>
      </w:pPr>
      <w:r>
        <w:t xml:space="preserve">The explanation is advisory and is delivered off the safety-critical path: the action is fixed by the decision component and is not altered by the generated text. The separation is deliberate. A free-text model can produce an explanation that is fluent yet inconsistent with the decision it describes, which in a control room is a hazard rather than an aid; and, as Section 4.7 shows, the latency arithmetic independently forbids placing a language model in the decision path. The safety argument and the timing budget point to the same architecture.</w:t>
      </w:r>
    </w:p>
    <w:bookmarkEnd w:id="34"/>
    <w:bookmarkStart w:id="35" w:name="the-safety-relevant-metric-set"/>
    <w:p>
      <w:pPr>
        <w:pStyle w:val="Heading3"/>
      </w:pPr>
      <w:r>
        <w:t xml:space="preserve">3.4 The safety-relevant metric set</w:t>
      </w:r>
    </w:p>
    <w:p>
      <w:pPr>
        <w:pStyle w:val="FirstParagraph"/>
      </w:pPr>
      <w:r>
        <w:t xml:space="preserve">We evaluate every model on five quantities rather than one. This set is the paper’s principal methodological proposal.</w:t>
      </w:r>
    </w:p>
    <w:p>
      <w:pPr>
        <w:pStyle w:val="BodyText"/>
      </w:pPr>
      <w:r>
        <w:rPr>
          <w:bCs/>
          <w:b/>
        </w:rPr>
        <w:t xml:space="preserve">Decision accuracy.</w:t>
      </w:r>
      <w:r>
        <w:t xml:space="preserve"> </w:t>
      </w:r>
      <w:r>
        <w:t xml:space="preserve">The fraction of test windows assigned an action in the acceptable set</w:t>
      </w:r>
      <w:r>
        <w:t xml:space="preserve"> </w:t>
      </w:r>
      <w:r>
        <w:rPr>
          <w:iCs/>
          <w:i/>
        </w:rPr>
        <w:t xml:space="preserve">a</w:t>
      </w:r>
      <w:r>
        <w:t xml:space="preserve">*(</w:t>
      </w:r>
      <w:r>
        <w:rPr>
          <w:iCs/>
          <w:i/>
        </w:rPr>
        <w:t xml:space="preserve">g</w:t>
      </w:r>
      <w:r>
        <w:t xml:space="preserve">ₜ). Reported for continuity with prior work, not as a safety metric.</w:t>
      </w:r>
    </w:p>
    <w:p>
      <w:pPr>
        <w:pStyle w:val="BodyText"/>
      </w:pPr>
      <w:r>
        <w:rPr>
          <w:bCs/>
          <w:b/>
        </w:rPr>
        <w:t xml:space="preserve">Missed-hazard rate.</w:t>
      </w:r>
      <w:r>
        <w:t xml:space="preserve"> </w:t>
      </w:r>
      <w:r>
        <w:t xml:space="preserve">The fraction of hazardous windows (Smoke and Mixture) assigned the passive</w:t>
      </w:r>
      <w:r>
        <w:t xml:space="preserve"> </w:t>
      </w:r>
      <w:r>
        <w:rPr>
          <w:iCs/>
          <w:i/>
        </w:rPr>
        <w:t xml:space="preserve">Monitor</w:t>
      </w:r>
      <w:r>
        <w:t xml:space="preserve"> </w:t>
      </w:r>
      <w:r>
        <w:t xml:space="preserve">action. This counts only</w:t>
      </w:r>
      <w:r>
        <w:t xml:space="preserve"> </w:t>
      </w:r>
      <w:r>
        <w:rPr>
          <w:iCs/>
          <w:i/>
        </w:rPr>
        <w:t xml:space="preserve">a</w:t>
      </w:r>
      <w:r>
        <w:t xml:space="preserve"> </w:t>
      </w:r>
      <w:r>
        <w:t xml:space="preserve">= 0 —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is still notified. The limitation of this definition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although no operator is notified. Section 4.3 shows that this limitation is not academic, and it is the reason for the next metric.</w:t>
      </w:r>
    </w:p>
    <w:p>
      <w:pPr>
        <w:pStyle w:val="BodyText"/>
      </w:pPr>
      <w:r>
        <w:rPr>
          <w:bCs/>
          <w:b/>
        </w:rPr>
        <w:t xml:space="preserve">Escalation adequacy.</w:t>
      </w:r>
      <w:r>
        <w:t xml:space="preserve"> </w:t>
      </w:r>
      <w:r>
        <w:t xml:space="preserve">The fraction of hazardous windows assigned an alarm-grade action (</w:t>
      </w:r>
      <w:r>
        <w:rPr>
          <w:iCs/>
          <w:i/>
        </w:rPr>
        <w:t xml:space="preserve">a</w:t>
      </w:r>
      <w:r>
        <w:t xml:space="preserve"> </w:t>
      </w:r>
      <w:r>
        <w:t xml:space="preserve">≥ 3). This is the quantity that determines whether an operator learns of the hazard, and it is the metric on which models with identical miss rates diverge most.</w:t>
      </w:r>
    </w:p>
    <w:p>
      <w:pPr>
        <w:pStyle w:val="BodyText"/>
      </w:pPr>
      <w:r>
        <w:rPr>
          <w:bCs/>
          <w:b/>
        </w:rPr>
        <w:t xml:space="preserve">High-severity false-alarm rate.</w:t>
      </w:r>
      <w:r>
        <w:t xml:space="preserve"> </w:t>
      </w:r>
      <w:r>
        <w:t xml:space="preserve">The fraction of clean windows assigned</w:t>
      </w:r>
      <w:r>
        <w:t xml:space="preserve"> </w:t>
      </w:r>
      <w:r>
        <w:rPr>
          <w:iCs/>
          <w:i/>
        </w:rPr>
        <w:t xml:space="preserve">a</w:t>
      </w:r>
      <w:r>
        <w:t xml:space="preserve"> </w:t>
      </w:r>
      <w:r>
        <w:t xml:space="preserve">≥ 3. Reported both as a rate and, in Section 4.7, converted into alarm burden per operator per hour at the deployment sampling cadence, because a rate is not directly comparable to the alarm-management envelopes an operator actually works within (EEMUA 2013; ISA 2016).</w:t>
      </w:r>
    </w:p>
    <w:p>
      <w:pPr>
        <w:pStyle w:val="BodyText"/>
      </w:pPr>
      <w:r>
        <w:rPr>
          <w:bCs/>
          <w:b/>
        </w:rPr>
        <w:t xml:space="preserve">Confidence bounds on every zero count.</w:t>
      </w:r>
      <w:r>
        <w:t xml:space="preserve"> </w:t>
      </w:r>
      <w:r>
        <w:t xml:space="preserve">An observed zero is not a demonstrated zero. All zero-count claims are reported with a one-sided 95% Clopper–Pearson upper bound (Clopper and Pearson 1934). This is not a formality: over 640 hazardous windows, zero observed misses supports only</w:t>
      </w:r>
      <w:r>
        <w:t xml:space="preserve"> </w:t>
      </w:r>
      <w:r>
        <w:t xml:space="preserve">“</w:t>
      </w:r>
      <w:r>
        <w:t xml:space="preserve">≤ 0.47% at 95% confidence,</w:t>
      </w:r>
      <w:r>
        <w:t xml:space="preserve">”</w:t>
      </w:r>
      <w:r>
        <w:t xml:space="preserve"> </w:t>
      </w:r>
      <w:r>
        <w:t xml:space="preserve">and a claim below 10⁻³ would require approximately 2,995 consecutive zero-miss observations.</w:t>
      </w:r>
    </w:p>
    <w:bookmarkEnd w:id="35"/>
    <w:bookmarkStart w:id="36" w:name="experimental-protocol"/>
    <w:p>
      <w:pPr>
        <w:pStyle w:val="Heading3"/>
      </w:pPr>
      <w:r>
        <w:t xml:space="preserve">3.5 Experimental protocol</w:t>
      </w:r>
    </w:p>
    <w:p>
      <w:pPr>
        <w:pStyle w:val="FirstParagraph"/>
      </w:pPr>
      <w:r>
        <w:t xml:space="preserve">All experiments use five initialization seeds (42, 1337, 7, 2024, 99) on the fixed block-wise partition, with determinism guards enabled. Five experiment families are reported:</w:t>
      </w:r>
    </w:p>
    <w:p>
      <w:pPr>
        <w:numPr>
          <w:ilvl w:val="0"/>
          <w:numId w:val="1004"/>
        </w:numPr>
        <w:pStyle w:val="Compact"/>
      </w:pPr>
      <w:r>
        <w:rPr>
          <w:bCs/>
          <w:b/>
        </w:rPr>
        <w:t xml:space="preserve">Model comparison.</w:t>
      </w:r>
      <w:r>
        <w:t xml:space="preserve"> </w:t>
      </w:r>
      <w:r>
        <w:t xml:space="preserve">Eight model families trained on the same partition and evaluated on the same holdout (Section 4.2).</w:t>
      </w:r>
    </w:p>
    <w:p>
      <w:pPr>
        <w:numPr>
          <w:ilvl w:val="0"/>
          <w:numId w:val="1004"/>
        </w:numPr>
        <w:pStyle w:val="Compact"/>
      </w:pPr>
      <w:r>
        <w:rPr>
          <w:bCs/>
          <w:b/>
        </w:rPr>
        <w:t xml:space="preserve">Leave-one-class-out.</w:t>
      </w:r>
      <w:r>
        <w:t xml:space="preserve"> </w:t>
      </w:r>
      <w:r>
        <w:t xml:space="preserve">For each class in turn, models are retrained on the remaining three and evaluated on the withheld class (Section 4.3).</w:t>
      </w:r>
    </w:p>
    <w:p>
      <w:pPr>
        <w:numPr>
          <w:ilvl w:val="0"/>
          <w:numId w:val="1004"/>
        </w:numPr>
        <w:pStyle w:val="Compact"/>
      </w:pPr>
      <w:r>
        <w:rPr>
          <w:bCs/>
          <w:b/>
        </w:rPr>
        <w:t xml:space="preserve">Cost-asymmetry sweep.</w:t>
      </w:r>
      <w:r>
        <w:t xml:space="preserve"> </w:t>
      </w:r>
      <w:r>
        <w:rPr>
          <w:iCs/>
          <w:i/>
        </w:rPr>
        <w:t xml:space="preserve">C</w:t>
      </w:r>
      <w:r>
        <w:t xml:space="preserve"> </w:t>
      </w:r>
      <w:r>
        <w:t xml:space="preserve">swept across nine values from 1:1 to 20:1 (Section 4.4).</w:t>
      </w:r>
    </w:p>
    <w:p>
      <w:pPr>
        <w:numPr>
          <w:ilvl w:val="0"/>
          <w:numId w:val="1004"/>
        </w:numPr>
        <w:pStyle w:val="Compact"/>
      </w:pPr>
      <w:r>
        <w:rPr>
          <w:bCs/>
          <w:b/>
        </w:rPr>
        <w:t xml:space="preserve">Perturbation suite.</w:t>
      </w:r>
      <w:r>
        <w:t xml:space="preserve"> </w:t>
      </w:r>
      <w:r>
        <w:t xml:space="preserve">Additive Gaussian noise, calibration drift, and sensor-channel dropout (Section 4.5).</w:t>
      </w:r>
    </w:p>
    <w:p>
      <w:pPr>
        <w:numPr>
          <w:ilvl w:val="0"/>
          <w:numId w:val="1004"/>
        </w:numPr>
        <w:pStyle w:val="Compact"/>
      </w:pPr>
      <w:r>
        <w:rPr>
          <w:bCs/>
          <w:b/>
        </w:rPr>
        <w:t xml:space="preserve">Calibration.</w:t>
      </w:r>
      <w:r>
        <w:t xml:space="preserve"> </w:t>
      </w:r>
      <w:r>
        <w:t xml:space="preserve">Four uncertainty estimators compared by expected calibration error (Section 4.6).</w:t>
      </w:r>
    </w:p>
    <w:p>
      <w:pPr>
        <w:pStyle w:val="FirstParagraph"/>
      </w:pPr>
      <w:r>
        <w:rPr>
          <w:bCs/>
          <w:b/>
        </w:rPr>
        <w:t xml:space="preserve">On statistical inference.</w:t>
      </w:r>
      <w:r>
        <w:t xml:space="preserve"> </w:t>
      </w:r>
      <w:r>
        <w:t xml:space="preserve">With</w:t>
      </w:r>
      <w:r>
        <w:t xml:space="preserve"> </w:t>
      </w:r>
      <w:r>
        <w:rPr>
          <w:iCs/>
          <w:i/>
        </w:rPr>
        <w:t xml:space="preserve">n</w:t>
      </w:r>
      <w:r>
        <w:t xml:space="preserve"> </w:t>
      </w:r>
      <w:r>
        <w:t xml:space="preserve">= 5 paired seeds, the two-sided Wilcoxon signed-rank test has a minimum attainable</w:t>
      </w:r>
      <w:r>
        <w:t xml:space="preserve"> </w:t>
      </w:r>
      <w:r>
        <w:rPr>
          <w:iCs/>
          <w:i/>
        </w:rPr>
        <w:t xml:space="preserve">p</w:t>
      </w:r>
      <w:r>
        <w:t xml:space="preserve">-value of 2^(1−</w:t>
      </w:r>
      <w:r>
        <w:rPr>
          <w:iCs/>
          <w:i/>
        </w:rPr>
        <w:t xml:space="preserve">n</w:t>
      </w:r>
      <w:r>
        <w:t xml:space="preserve">) = 0.0625.</w:t>
      </w:r>
      <w:r>
        <w:t xml:space="preserve"> </w:t>
      </w:r>
      <w:r>
        <w:rPr>
          <w:bCs/>
          <w:b/>
        </w:rPr>
        <w:t xml:space="preserve">No comparison in this design can reach α = 0.05 at any effect size.</w:t>
      </w:r>
      <w:r>
        <w:t xml:space="preserve"> </w:t>
      </w:r>
      <w:r>
        <w:t xml:space="preserve">We therefore report no significance-based ranking among models, and we ask readers not to infer one. Where paired</w:t>
      </w:r>
      <w:r>
        <w:t xml:space="preserve"> </w:t>
      </w:r>
      <w:r>
        <w:rPr>
          <w:iCs/>
          <w:i/>
        </w:rPr>
        <w:t xml:space="preserve">p</w:t>
      </w:r>
      <w:r>
        <w:t xml:space="preserve">-values are quoted they are given for completeness with this constraint stated alongside. Effect sizes and dispersion are reported throughout; a properly powered comparison would require substantially more randomized runs varying seed, split, augmentation, and hyperparameter draw, together with an equivalence analysis over a region of practical equivalence (Benavoli et al. 2017; Bouthillier et al. 2021). This is identified as required further work in Section 7.</w:t>
      </w:r>
    </w:p>
    <w:bookmarkEnd w:id="36"/>
    <w:bookmarkStart w:id="37" w:name="edge-deployment-setup"/>
    <w:p>
      <w:pPr>
        <w:pStyle w:val="Heading3"/>
      </w:pPr>
      <w:r>
        <w:t xml:space="preserve">3.6 Edge deployment setup</w:t>
      </w:r>
    </w:p>
    <w:p>
      <w:pPr>
        <w:pStyle w:val="FirstParagraph"/>
      </w:pPr>
      <w:r>
        <w:t xml:space="preserve">The edge study evaluates whether the decision path meets a practical sampling-interval budget on modest industrial-IoT hardware. It is a benchmark replay on edge hardware, not a live field deployment; its purpose is to characterize computational feasibility, footprint, latency, and thermal behavior prior to sensor integration.</w:t>
      </w:r>
    </w:p>
    <w:p>
      <w:pPr>
        <w:pStyle w:val="BodyText"/>
      </w:pPr>
      <w:r>
        <w:t xml:space="preserve">The platform is a Raspberry Pi 4 Model B (Cortex-A72, 8 GB RAM) running 64-bit Raspberry Pi OS Bookworm, with Python 3.11, PyTorch 2.3 CPU build, ONNX Runtime 1.18, and Ultralytics YOLOv8 8.2. The reasoning component is served locally through Ollama using a 4-bit-quantized Gemma 3 1B model (Q4_K_M). The test partition is streamed from local storage at 0.5 Hz, corresponding to a 2,000 ms sampling interval, within which the deployable decision path must complete.</w:t>
      </w:r>
    </w:p>
    <w:p>
      <w:r>
        <w:pict>
          <v:rect style="width:0;height:1.5pt" o:hralign="center" o:hrstd="t" o:hr="t"/>
        </w:pict>
      </w:r>
    </w:p>
    <w:bookmarkEnd w:id="37"/>
    <w:bookmarkEnd w:id="38"/>
    <w:bookmarkStart w:id="47" w:name="results"/>
    <w:p>
      <w:pPr>
        <w:pStyle w:val="Heading2"/>
      </w:pPr>
      <w:r>
        <w:t xml:space="preserve">4. Results</w:t>
      </w:r>
    </w:p>
    <w:bookmarkStart w:id="39" w:name="component-characterization"/>
    <w:p>
      <w:pPr>
        <w:pStyle w:val="Heading3"/>
      </w:pPr>
      <w:r>
        <w:t xml:space="preserve">4.1 Component characterization</w:t>
      </w:r>
    </w:p>
    <w:p>
      <w:pPr>
        <w:pStyle w:val="FirstParagraph"/>
      </w:pPr>
      <w:r>
        <w:rPr>
          <w:bCs/>
          <w:b/>
        </w:rPr>
        <w:t xml:space="preserve">Perception.</w:t>
      </w:r>
      <w:r>
        <w:t xml:space="preserve"> </w:t>
      </w:r>
      <w:r>
        <w:t xml:space="preserve">The thermal classifier attained 98.8% top-1 accuracy on 1,280 held-out validation images at 0.78 ms mean inference latency (</w:t>
      </w:r>
      <w:r>
        <w:rPr>
          <w:bCs/>
          <w:b/>
        </w:rPr>
        <w:t xml:space="preserve">Table 4</w:t>
      </w:r>
      <w:r>
        <w:t xml:space="preserve">). Recall was perfect for Smoke and Mixture; the 15 misclassifications fell at the NoGas–Perfume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 Perception component performance on 1,280 held-out validation images.</w:t>
      </w:r>
      <w:r>
        <w:t xml:space="preserve"> </w:t>
      </w:r>
      <w:r>
        <w:t xml:space="preserve">Obtained under a randomized image split; see Section 3.3 and Appendix A.</w:t>
      </w:r>
    </w:p>
    <w:p>
      <w:pPr>
        <w:pStyle w:val="BodyText"/>
      </w:pPr>
      <w:r>
        <w:rPr>
          <w:bCs/>
          <w:b/>
        </w:rPr>
        <w:t xml:space="preserve">Anomaly detection.</w:t>
      </w:r>
      <w:r>
        <w:t xml:space="preserve"> </w:t>
      </w:r>
      <w:r>
        <w:t xml:space="preserve">The autoencoder attained ROC-AUC 0.963 with an operating point at τ = 0.00701 corresponding to TPR 87.9% and FPR 5.0% (</w:t>
      </w:r>
      <w:r>
        <w:rPr>
          <w:bCs/>
          <w:b/>
        </w:rPr>
        <w:t xml:space="preserve">Table 5</w:t>
      </w:r>
      <w:r>
        <w:t xml:space="preserve">). The 582 false negatives arise predominantly from lower-intensity Perfume windows.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ROC-AUC</w:t>
            </w:r>
          </w:p>
        </w:tc>
        <w:tc>
          <w:tcPr/>
          <w:p>
            <w:pPr>
              <w:pStyle w:val="Compact"/>
              <w:jc w:val="left"/>
            </w:pPr>
            <w:r>
              <w:t xml:space="preserve">0.963</w:t>
            </w:r>
          </w:p>
        </w:tc>
      </w:tr>
      <w:tr>
        <w:tc>
          <w:tcPr/>
          <w:p>
            <w:pPr>
              <w:pStyle w:val="Compact"/>
              <w:jc w:val="left"/>
            </w:pPr>
            <w:r>
              <w:t xml:space="preserve">Detection threshold τ</w:t>
            </w:r>
          </w:p>
        </w:tc>
        <w:tc>
          <w:tcPr/>
          <w:p>
            <w:pPr>
              <w:pStyle w:val="Compact"/>
              <w:jc w:val="left"/>
            </w:pPr>
            <w:r>
              <w:t xml:space="preserve">0.00701</w:t>
            </w:r>
          </w:p>
        </w:tc>
      </w:tr>
      <w:tr>
        <w:tc>
          <w:tcPr/>
          <w:p>
            <w:pPr>
              <w:pStyle w:val="Compact"/>
              <w:jc w:val="left"/>
            </w:pPr>
            <w:r>
              <w:t xml:space="preserve">True positive rate</w:t>
            </w:r>
          </w:p>
        </w:tc>
        <w:tc>
          <w:tcPr/>
          <w:p>
            <w:pPr>
              <w:pStyle w:val="Compact"/>
              <w:jc w:val="left"/>
            </w:pPr>
            <w:r>
              <w:t xml:space="preserve">87.9%</w:t>
            </w:r>
          </w:p>
        </w:tc>
      </w:tr>
      <w:tr>
        <w:tc>
          <w:tcPr/>
          <w:p>
            <w:pPr>
              <w:pStyle w:val="Compact"/>
              <w:jc w:val="left"/>
            </w:pPr>
            <w:r>
              <w:t xml:space="preserve">False positive rate</w:t>
            </w:r>
          </w:p>
        </w:tc>
        <w:tc>
          <w:tcPr/>
          <w:p>
            <w:pPr>
              <w:pStyle w:val="Compact"/>
              <w:jc w:val="left"/>
            </w:pPr>
            <w:r>
              <w:t xml:space="preserve">5.0%</w:t>
            </w:r>
          </w:p>
        </w:tc>
      </w:tr>
      <w:tr>
        <w:tc>
          <w:tcPr/>
          <w:p>
            <w:pPr>
              <w:pStyle w:val="Compact"/>
              <w:jc w:val="left"/>
            </w:pPr>
            <w:r>
              <w:t xml:space="preserve">True negatives / false positives</w:t>
            </w:r>
          </w:p>
        </w:tc>
        <w:tc>
          <w:tcPr/>
          <w:p>
            <w:pPr>
              <w:pStyle w:val="Compact"/>
              <w:jc w:val="left"/>
            </w:pPr>
            <w:r>
              <w:t xml:space="preserve">1,501 / 79</w:t>
            </w:r>
          </w:p>
        </w:tc>
      </w:tr>
      <w:tr>
        <w:tc>
          <w:tcPr/>
          <w:p>
            <w:pPr>
              <w:pStyle w:val="Compact"/>
              <w:jc w:val="left"/>
            </w:pPr>
            <w:r>
              <w:t xml:space="preserve">False negatives / true positives</w:t>
            </w:r>
          </w:p>
        </w:tc>
        <w:tc>
          <w:tcPr/>
          <w:p>
            <w:pPr>
              <w:pStyle w:val="Compact"/>
              <w:jc w:val="left"/>
            </w:pPr>
            <w:r>
              <w:t xml:space="preserve">582 / 4,218</w:t>
            </w:r>
          </w:p>
        </w:tc>
      </w:tr>
      <w:tr>
        <w:tc>
          <w:tcPr/>
          <w:p>
            <w:pPr>
              <w:pStyle w:val="Compact"/>
              <w:jc w:val="left"/>
            </w:pPr>
            <w:r>
              <w:t xml:space="preserve">Mean reconstruction error, normal</w:t>
            </w:r>
          </w:p>
        </w:tc>
        <w:tc>
          <w:tcPr/>
          <w:p>
            <w:pPr>
              <w:pStyle w:val="Compact"/>
              <w:jc w:val="left"/>
            </w:pPr>
            <w:r>
              <w:t xml:space="preserve">2.72 × 10⁻³</w:t>
            </w:r>
          </w:p>
        </w:tc>
      </w:tr>
      <w:tr>
        <w:tc>
          <w:tcPr/>
          <w:p>
            <w:pPr>
              <w:pStyle w:val="Compact"/>
              <w:jc w:val="left"/>
            </w:pPr>
            <w:r>
              <w:t xml:space="preserve">Mean reconstruction error, anomalous</w:t>
            </w:r>
          </w:p>
        </w:tc>
        <w:tc>
          <w:tcPr/>
          <w:p>
            <w:pPr>
              <w:pStyle w:val="Compact"/>
              <w:jc w:val="left"/>
            </w:pPr>
            <w:r>
              <w:t xml:space="preserve">2.082</w:t>
            </w:r>
          </w:p>
        </w:tc>
      </w:tr>
    </w:tbl>
    <w:p>
      <w:pPr>
        <w:pStyle w:val="BodyText"/>
      </w:pPr>
      <w:r>
        <w:rPr>
          <w:bCs/>
          <w:b/>
        </w:rPr>
        <w:t xml:space="preserve">Table 5 — Anomaly component characterization.</w:t>
      </w:r>
    </w:p>
    <w:p>
      <w:pPr>
        <w:pStyle w:val="BodyText"/>
      </w:pPr>
      <w:r>
        <w:t xml:space="preserve">Two qualifications are required. First, the false-positive rate of 79/1,580 is exactly 5.000%, the nominal value of a 95th-percentile threshold evaluated on the sample that defined it; the evaluation reported here is therefore not cleanly out-of-sample, and the AUC is computed over a window set that includes training windows. Refitting τ on a disjoint calibration split and re-evaluating on held-out NoGas windows only is an open item (Appendix A). Second, and more consequentially for the pipeline, the anomaly score is state feature 0 in Eq. 1, so any use of it as a hazard proxy presumes that it ranks hazard monotonically. We do not report evidence that it does, and downstream results should be read as not depending on it: the ablation required to establish the score’s contribution to the action is listed in Appendix A.</w:t>
      </w:r>
    </w:p>
    <w:p>
      <w:pPr>
        <w:pStyle w:val="BodyText"/>
      </w:pPr>
      <w:r>
        <w:rPr>
          <w:bCs/>
          <w:b/>
        </w:rPr>
        <w:t xml:space="preserve">Decision component, deployed configuration.</w:t>
      </w:r>
      <w:r>
        <w:t xml:space="preserve"> </w:t>
      </w:r>
      <w:r>
        <w:t xml:space="preserve">On the 1,276-window block-wise holdout, the deployed</w:t>
      </w:r>
      <w:r>
        <w:t xml:space="preserve"> </w:t>
      </w:r>
      <w:r>
        <w:rPr>
          <w:iCs/>
          <w:i/>
        </w:rPr>
        <w:t xml:space="preserve">C</w:t>
      </w:r>
      <w:r>
        <w:t xml:space="preserve"> </w:t>
      </w:r>
      <w:r>
        <w:t xml:space="preserve">= 8:1 configuration attained 94.44% decision accuracy in the reference run. No hazardous window received the passive</w:t>
      </w:r>
      <w:r>
        <w:t xml:space="preserve"> </w:t>
      </w:r>
      <w:r>
        <w:rPr>
          <w:iCs/>
          <w:i/>
        </w:rPr>
        <w:t xml:space="preserve">Monitor</w:t>
      </w:r>
      <w:r>
        <w:t xml:space="preserve"> </w:t>
      </w:r>
      <w:r>
        <w:t xml:space="preserve">action across all 640 hazardous windows (missed-hazard rate 0.0000; 95% CP upper bound 0.467%), and in-distribution escalation adequacy was 1.000 — every Smoke window received</w:t>
      </w:r>
      <w:r>
        <w:t xml:space="preserve"> </w:t>
      </w:r>
      <w:r>
        <w:rPr>
          <w:iCs/>
          <w:i/>
        </w:rPr>
        <w:t xml:space="preserve">Raise Alarm</w:t>
      </w:r>
      <w:r>
        <w:t xml:space="preserve"> </w:t>
      </w:r>
      <w:r>
        <w:t xml:space="preserve">and every Mixture window received</w:t>
      </w:r>
      <w:r>
        <w:t xml:space="preserve"> </w:t>
      </w:r>
      <w:r>
        <w:rPr>
          <w:iCs/>
          <w:i/>
        </w:rPr>
        <w:t xml:space="preserve">Emergency Shutdown</w:t>
      </w:r>
      <w:r>
        <w:t xml:space="preserve">. No clean window received an alarm-grade action across 316 NoGas windows (false-alarm rate 0.0000; 95% CP upper bound 0.944%). Per-class behavior is given in</w:t>
      </w:r>
      <w:r>
        <w:t xml:space="preserve"> </w:t>
      </w:r>
      <w:r>
        <w:rPr>
          <w:bCs/>
          <w:b/>
        </w:rPr>
        <w:t xml:space="preserve">Table 6</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rPr>
                <w:iCs/>
                <w:i/>
              </w:rPr>
              <w:t xml:space="preserve">n</w:t>
            </w:r>
          </w:p>
        </w:tc>
      </w:tr>
      <w:tr>
        <w:tc>
          <w:tcPr/>
          <w:p>
            <w:pPr>
              <w:pStyle w:val="Compact"/>
              <w:jc w:val="left"/>
            </w:pPr>
            <w:r>
              <w:t xml:space="preserve">NoGas</w:t>
            </w:r>
          </w:p>
        </w:tc>
        <w:tc>
          <w:tcPr/>
          <w:p>
            <w:pPr>
              <w:pStyle w:val="Compact"/>
              <w:jc w:val="left"/>
            </w:pPr>
            <w:r>
              <w:t xml:space="preserve">0.98</w:t>
            </w:r>
          </w:p>
        </w:tc>
        <w:tc>
          <w:tcPr/>
          <w:p>
            <w:pPr>
              <w:pStyle w:val="Compact"/>
              <w:jc w:val="left"/>
            </w:pPr>
            <w:r>
              <w:t xml:space="preserve">0.79</w:t>
            </w:r>
          </w:p>
        </w:tc>
        <w:tc>
          <w:tcPr/>
          <w:p>
            <w:pPr>
              <w:pStyle w:val="Compact"/>
              <w:jc w:val="left"/>
            </w:pPr>
            <w:r>
              <w:t xml:space="preserve">0.88</w:t>
            </w:r>
          </w:p>
        </w:tc>
        <w:tc>
          <w:tcPr/>
          <w:p>
            <w:pPr>
              <w:pStyle w:val="Compact"/>
              <w:jc w:val="left"/>
            </w:pPr>
            <w:r>
              <w:t xml:space="preserve">316</w:t>
            </w:r>
          </w:p>
        </w:tc>
      </w:tr>
      <w:tr>
        <w:tc>
          <w:tcPr/>
          <w:p>
            <w:pPr>
              <w:pStyle w:val="Compact"/>
              <w:jc w:val="left"/>
            </w:pPr>
            <w:r>
              <w:t xml:space="preserve">Smoke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320</w:t>
            </w:r>
          </w:p>
        </w:tc>
      </w:tr>
      <w:tr>
        <w:tc>
          <w:tcPr/>
          <w:p>
            <w:pPr>
              <w:pStyle w:val="Compact"/>
              <w:jc w:val="left"/>
            </w:pPr>
            <w:r>
              <w:t xml:space="preserve">Mixture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320</w:t>
            </w:r>
          </w:p>
        </w:tc>
      </w:tr>
      <w:tr>
        <w:tc>
          <w:tcPr/>
          <w:p>
            <w:pPr>
              <w:pStyle w:val="Compact"/>
              <w:jc w:val="left"/>
            </w:pPr>
            <w:r>
              <w:t xml:space="preserve">Perfume</w:t>
            </w:r>
          </w:p>
        </w:tc>
        <w:tc>
          <w:tcPr/>
          <w:p>
            <w:pPr>
              <w:pStyle w:val="Compact"/>
              <w:jc w:val="left"/>
            </w:pPr>
            <w:r>
              <w:t xml:space="preserve">0.83</w:t>
            </w:r>
          </w:p>
        </w:tc>
        <w:tc>
          <w:tcPr/>
          <w:p>
            <w:pPr>
              <w:pStyle w:val="Compact"/>
              <w:jc w:val="left"/>
            </w:pPr>
            <w:r>
              <w:t xml:space="preserve">0.99</w:t>
            </w:r>
          </w:p>
        </w:tc>
        <w:tc>
          <w:tcPr/>
          <w:p>
            <w:pPr>
              <w:pStyle w:val="Compact"/>
              <w:jc w:val="left"/>
            </w:pPr>
            <w:r>
              <w:t xml:space="preserve">0.90</w:t>
            </w:r>
          </w:p>
        </w:tc>
        <w:tc>
          <w:tcPr/>
          <w:p>
            <w:pPr>
              <w:pStyle w:val="Compact"/>
              <w:jc w:val="left"/>
            </w:pPr>
            <w:r>
              <w:t xml:space="preserve">320</w:t>
            </w:r>
          </w:p>
        </w:tc>
      </w:tr>
    </w:tbl>
    <w:p>
      <w:pPr>
        <w:pStyle w:val="BodyText"/>
      </w:pPr>
      <w:r>
        <w:rPr>
          <w:bCs/>
          <w:b/>
        </w:rPr>
        <w:t xml:space="preserve">Table 6 — Decision component per-class behavior, deployed configuration, reference run.</w:t>
      </w:r>
      <w:r>
        <w:t xml:space="preserve"> </w:t>
      </w:r>
      <w:r>
        <w:t xml:space="preserve">Actions scored against the class-conditional target set</w:t>
      </w:r>
      <w:r>
        <w:t xml:space="preserve"> </w:t>
      </w:r>
      <w:r>
        <w:rPr>
          <w:iCs/>
          <w:i/>
        </w:rPr>
        <w:t xml:space="preserve">a</w:t>
      </w:r>
      <w:r>
        <w:t xml:space="preserve">*(·). Decision accuracy 94.44%; missed-hazard rate 0.0000 (≤ 0.467%); high-severity false-alarm rate 0.0000 (≤ 0.944%).</w:t>
      </w:r>
    </w:p>
    <w:p>
      <w:pPr>
        <w:pStyle w:val="BodyText"/>
      </w:pPr>
      <w:r>
        <w:t xml:space="preserve">The reduced NoGas recall is not a convergence failure. It reflects the intended bias toward precautionary low-severity actions where baseline and VOC-like evidence overlap: the NoGas windows not assigned</w:t>
      </w:r>
      <w:r>
        <w:t xml:space="preserve"> </w:t>
      </w:r>
      <w:r>
        <w:rPr>
          <w:iCs/>
          <w:i/>
        </w:rPr>
        <w:t xml:space="preserve">Monitor</w:t>
      </w:r>
      <w:r>
        <w:t xml:space="preserve"> </w:t>
      </w:r>
      <w:r>
        <w:t xml:space="preserve">received actions 1 or 2, never an alarm-grade action. Across five seeds the same configuration attained 0.9633 ± 0.0215 decision accuracy (Section 4.2); the reference-run and multi-seed figures are reported separately throughout, and reconciling them is an open item (Appendix A).</w:t>
      </w:r>
    </w:p>
    <w:bookmarkEnd w:id="39"/>
    <w:bookmarkStart w:id="40" w:name="Xcdfd2523b97b0998dfde1a7836ad999890eb259"/>
    <w:p>
      <w:pPr>
        <w:pStyle w:val="Heading3"/>
      </w:pPr>
      <w:r>
        <w:t xml:space="preserve">4.2 Model comparison: eight families are not distinguishable on accuracy</w:t>
      </w:r>
    </w:p>
    <w:p>
      <w:pPr>
        <w:pStyle w:val="FirstParagraph"/>
      </w:pPr>
      <w:r>
        <w:t xml:space="preserve">Eight model families were trained on the same partition with the same five seeds and evaluated on the same holdout (</w:t>
      </w:r>
      <w:r>
        <w:rPr>
          <w:bCs/>
          <w:b/>
        </w:rPr>
        <w:t xml:space="preserve">Table 7</w:t>
      </w:r>
      <w:r>
        <w:t xml:space="preserve">): the cost-weighted policy of Eq. 2; an unweighted network of identical topology; a multilayer perceptron; gradient boosting; an RBF support vector classifier; a random forest; a recurrent network over raw windows; and a conservative offline reinforcement-learning baseline.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 rate</w:t>
            </w:r>
          </w:p>
        </w:tc>
        <w:tc>
          <w:tcPr/>
          <w:p>
            <w:pPr>
              <w:pStyle w:val="Compact"/>
              <w:jc w:val="left"/>
            </w:pPr>
            <w:r>
              <w:t xml:space="preserve">High-severity FA rate</w:t>
            </w:r>
          </w:p>
        </w:tc>
        <w:tc>
          <w:tcPr/>
          <w:p>
            <w:pPr>
              <w:pStyle w:val="Compact"/>
              <w:jc w:val="left"/>
            </w:pPr>
            <w:r>
              <w:t xml:space="preserve">Wilcoxon</w:t>
            </w:r>
            <w:r>
              <w:t xml:space="preserve"> </w:t>
            </w:r>
            <w:r>
              <w:rPr>
                <w:iCs/>
                <w:i/>
              </w:rPr>
              <w:t xml:space="preserve">p</w:t>
            </w:r>
            <w:r>
              <w:t xml:space="preserve"> </w:t>
            </w:r>
            <w:r>
              <w:t xml:space="preserve">vs. cost-weighted</w:t>
            </w:r>
          </w:p>
        </w:tc>
      </w:tr>
      <w:tr>
        <w:tc>
          <w:tcPr/>
          <w:p>
            <w:pPr>
              <w:pStyle w:val="Compact"/>
              <w:jc w:val="left"/>
            </w:pPr>
            <w:r>
              <w:t xml:space="preserve">Random forest</w:t>
            </w:r>
          </w:p>
        </w:tc>
        <w:tc>
          <w:tcPr/>
          <w:p>
            <w:pPr>
              <w:pStyle w:val="Compact"/>
              <w:jc w:val="left"/>
            </w:pPr>
            <w:r>
              <w:rPr>
                <w:bCs/>
                <w:b/>
              </w:rPr>
              <w:t xml:space="preserve">0.9769</w:t>
            </w:r>
          </w:p>
        </w:tc>
        <w:tc>
          <w:tcPr/>
          <w:p>
            <w:pPr>
              <w:pStyle w:val="Compact"/>
              <w:jc w:val="left"/>
            </w:pPr>
            <w:r>
              <w:rPr>
                <w:bCs/>
                <w:b/>
              </w:rPr>
              <w:t xml:space="preserve">0.0086</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Recurrent (LSTM)</w:t>
            </w:r>
          </w:p>
        </w:tc>
        <w:tc>
          <w:tcPr/>
          <w:p>
            <w:pPr>
              <w:pStyle w:val="Compact"/>
              <w:jc w:val="left"/>
            </w:pPr>
            <w:r>
              <w:t xml:space="preserve">0.9680</w:t>
            </w:r>
          </w:p>
        </w:tc>
        <w:tc>
          <w:tcPr/>
          <w:p>
            <w:pPr>
              <w:pStyle w:val="Compact"/>
              <w:jc w:val="left"/>
            </w:pPr>
            <w:r>
              <w:t xml:space="preserve">0.0231</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Gradient boosting</w:t>
            </w:r>
          </w:p>
        </w:tc>
        <w:tc>
          <w:tcPr/>
          <w:p>
            <w:pPr>
              <w:pStyle w:val="Compact"/>
              <w:jc w:val="left"/>
            </w:pPr>
            <w:r>
              <w:t xml:space="preserve">0.9634</w:t>
            </w:r>
          </w:p>
        </w:tc>
        <w:tc>
          <w:tcPr/>
          <w:p>
            <w:pPr>
              <w:pStyle w:val="Compact"/>
              <w:jc w:val="left"/>
            </w:pPr>
            <w:r>
              <w:t xml:space="preserve">0.0211</w:t>
            </w:r>
          </w:p>
        </w:tc>
        <w:tc>
          <w:tcPr/>
          <w:p>
            <w:pPr>
              <w:pStyle w:val="Compact"/>
              <w:jc w:val="left"/>
            </w:pPr>
            <w:r>
              <w:t xml:space="preserve">0.0098 ± 0.0219</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Cost-weighted policy</w:t>
            </w:r>
          </w:p>
        </w:tc>
        <w:tc>
          <w:tcPr/>
          <w:p>
            <w:pPr>
              <w:pStyle w:val="Compact"/>
              <w:jc w:val="left"/>
            </w:pPr>
            <w:r>
              <w:t xml:space="preserve">0.9633</w:t>
            </w:r>
          </w:p>
        </w:tc>
        <w:tc>
          <w:tcPr/>
          <w:p>
            <w:pPr>
              <w:pStyle w:val="Compact"/>
              <w:jc w:val="left"/>
            </w:pPr>
            <w:r>
              <w:t xml:space="preserve">0.0215</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Multilayer perceptron</w:t>
            </w:r>
          </w:p>
        </w:tc>
        <w:tc>
          <w:tcPr/>
          <w:p>
            <w:pPr>
              <w:pStyle w:val="Compact"/>
              <w:jc w:val="left"/>
            </w:pPr>
            <w:r>
              <w:t xml:space="preserve">0.9616</w:t>
            </w:r>
          </w:p>
        </w:tc>
        <w:tc>
          <w:tcPr/>
          <w:p>
            <w:pPr>
              <w:pStyle w:val="Compact"/>
              <w:jc w:val="left"/>
            </w:pPr>
            <w:r>
              <w:t xml:space="preserve">0.0111</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Unweighted network</w:t>
            </w:r>
          </w:p>
        </w:tc>
        <w:tc>
          <w:tcPr/>
          <w:p>
            <w:pPr>
              <w:pStyle w:val="Compact"/>
              <w:jc w:val="left"/>
            </w:pPr>
            <w:r>
              <w:t xml:space="preserve">0.9563</w:t>
            </w:r>
          </w:p>
        </w:tc>
        <w:tc>
          <w:tcPr/>
          <w:p>
            <w:pPr>
              <w:pStyle w:val="Compact"/>
              <w:jc w:val="left"/>
            </w:pPr>
            <w:r>
              <w:t xml:space="preserve">0.0378</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0.6250</w:t>
            </w:r>
          </w:p>
        </w:tc>
      </w:tr>
      <w:tr>
        <w:tc>
          <w:tcPr/>
          <w:p>
            <w:pPr>
              <w:pStyle w:val="Compact"/>
              <w:jc w:val="left"/>
            </w:pPr>
            <w:r>
              <w:t xml:space="preserve">Support vector classifier</w:t>
            </w:r>
          </w:p>
        </w:tc>
        <w:tc>
          <w:tcPr/>
          <w:p>
            <w:pPr>
              <w:pStyle w:val="Compact"/>
              <w:jc w:val="left"/>
            </w:pPr>
            <w:r>
              <w:t xml:space="preserve">0.9511</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0.3750</w:t>
            </w:r>
          </w:p>
        </w:tc>
      </w:tr>
      <w:tr>
        <w:tc>
          <w:tcPr/>
          <w:p>
            <w:pPr>
              <w:pStyle w:val="Compact"/>
              <w:jc w:val="left"/>
            </w:pPr>
            <w:r>
              <w:t xml:space="preserve">Conservative offline RL</w:t>
            </w:r>
          </w:p>
        </w:tc>
        <w:tc>
          <w:tcPr/>
          <w:p>
            <w:pPr>
              <w:pStyle w:val="Compact"/>
              <w:jc w:val="left"/>
            </w:pPr>
            <w:r>
              <w:t xml:space="preserve">0.9437</w:t>
            </w:r>
          </w:p>
        </w:tc>
        <w:tc>
          <w:tcPr/>
          <w:p>
            <w:pPr>
              <w:pStyle w:val="Compact"/>
              <w:jc w:val="left"/>
            </w:pPr>
            <w:r>
              <w:t xml:space="preserve">0.0479</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0.3125</w:t>
            </w:r>
          </w:p>
        </w:tc>
      </w:tr>
    </w:tbl>
    <w:p>
      <w:pPr>
        <w:pStyle w:val="BodyText"/>
      </w:pPr>
      <w:r>
        <w:rPr>
          <w:bCs/>
          <w:b/>
        </w:rPr>
        <w:t xml:space="preserve">Table 7 — Model comparison on the block-wise holdout, five seeds.</w:t>
      </w:r>
      <w:r>
        <w:t xml:space="preserve"> </w:t>
      </w:r>
      <w:r>
        <w:t xml:space="preserve">Standard deviations reflect initialization variance only; the partition is fixed. The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so no entry in the final column can reach α = 0.05.</w:t>
      </w:r>
    </w:p>
    <w:p>
      <w:pPr>
        <w:pStyle w:val="BodyText"/>
      </w:pPr>
      <w:r>
        <w:t xml:space="preserve">All eight fall within 3.3 accuracy points of one another (0.9437–0.9769). The highest point accuracy and the lowest variance belong to the</w:t>
      </w:r>
      <w:r>
        <w:t xml:space="preserve"> </w:t>
      </w:r>
      <w:r>
        <w:rPr>
          <w:bCs/>
          <w:b/>
        </w:rPr>
        <w:t xml:space="preserve">random forest</w:t>
      </w:r>
      <w:r>
        <w:t xml:space="preserve">, not to any deep model; the cost-weighted policy places fourth. Seven of eight record no missed hazard on the clean holdout, and none records a high-severity false alarm.</w:t>
      </w:r>
    </w:p>
    <w:p>
      <w:pPr>
        <w:pStyle w:val="BodyText"/>
      </w:pPr>
      <w:r>
        <w:rPr>
          <w:bCs/>
          <w:b/>
        </w:rPr>
        <w:t xml:space="preserve">We assert no ranking among these models, and this design does not support one.</w:t>
      </w:r>
      <w:r>
        <w:t xml:space="preserve"> </w:t>
      </w:r>
      <w:r>
        <w:t xml:space="preserve">The smallest observed</w:t>
      </w:r>
      <w:r>
        <w:t xml:space="preserve"> </w:t>
      </w:r>
      <w:r>
        <w:rPr>
          <w:iCs/>
          <w:i/>
        </w:rPr>
        <w:t xml:space="preserve">p</w:t>
      </w:r>
      <w:r>
        <w:t xml:space="preserve">-value is 0.1875, and no smaller value than 0.0625 is attainable. Because the partition is fixed, the reported dispersion further excludes the dominant variance component. The correct reading of Table 7 is that eight architectures spanning very different inductive biases are</w:t>
      </w:r>
      <w:r>
        <w:t xml:space="preserve"> </w:t>
      </w:r>
      <w:r>
        <w:rPr>
          <w:bCs/>
          <w:b/>
        </w:rPr>
        <w:t xml:space="preserve">not distinguishable on in-distribution accuracy under this protocol</w:t>
      </w:r>
      <w:r>
        <w:t xml:space="preserve"> </w:t>
      </w:r>
      <w:r>
        <w:t xml:space="preserve">— which is the premise for everything that follows, and is more useful than a ranking would be. Any conventional model-selection exercise on this table would be selecting noise.</w:t>
      </w:r>
    </w:p>
    <w:bookmarkEnd w:id="40"/>
    <w:bookmarkStart w:id="41" w:name="X1ccc0eb0ce95d879d298fe22738c1fd3fcc52aa"/>
    <w:p>
      <w:pPr>
        <w:pStyle w:val="Heading3"/>
      </w:pPr>
      <w:r>
        <w:t xml:space="preserve">4.3 Leave-one-class-out: accuracy ties conceal two-order-of-magnitude safety differences</w:t>
      </w:r>
    </w:p>
    <w:p>
      <w:pPr>
        <w:pStyle w:val="FirstParagraph"/>
      </w:pPr>
      <w:r>
        <w:t xml:space="preserve">For each class in turn, models were retrained on the remaining three and evaluated on the withheld class. Held-out decision accuracy is 0.0 in every cell</w:t>
      </w:r>
      <w:r>
        <w:t xml:space="preserve"> </w:t>
      </w:r>
      <w:r>
        <w:rPr>
          <w:bCs/>
          <w:b/>
        </w:rPr>
        <w:t xml:space="preserve">by construction</w:t>
      </w:r>
      <w:r>
        <w:t xml:space="preserve">: withholding a class removes its target action from the training label set, so the model cannot emit it. The informative quantities are therefore what the model does instead — whether it fails safe, and how far it escalates.</w:t>
      </w:r>
      <w:r>
        <w:t xml:space="preserve"> </w:t>
      </w:r>
      <w:r>
        <w:rPr>
          <w:bCs/>
          <w:b/>
        </w:rPr>
        <w:t xml:space="preserve">Table 8</w:t>
      </w:r>
      <w:r>
        <w:t xml:space="preserve"> </w:t>
      </w:r>
      <w:r>
        <w:t xml:space="preserve">reports both.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Held-out class</w:t>
            </w:r>
          </w:p>
        </w:tc>
        <w:tc>
          <w:tcPr/>
          <w:p>
            <w:pPr>
              <w:pStyle w:val="Compact"/>
              <w:jc w:val="left"/>
            </w:pPr>
            <w:r>
              <w:t xml:space="preserve">Model</w:t>
            </w:r>
          </w:p>
        </w:tc>
        <w:tc>
          <w:tcPr/>
          <w:p>
            <w:pPr>
              <w:pStyle w:val="Compact"/>
              <w:jc w:val="left"/>
            </w:pPr>
            <w:r>
              <w:t xml:space="preserve">Missed-hazard rate</w:t>
            </w:r>
          </w:p>
        </w:tc>
        <w:tc>
          <w:tcPr/>
          <w:p>
            <w:pPr>
              <w:pStyle w:val="Compact"/>
              <w:jc w:val="left"/>
            </w:pPr>
            <w:r>
              <w:t xml:space="preserve">95% CP upper bound</w:t>
            </w:r>
          </w:p>
        </w:tc>
        <w:tc>
          <w:tcPr/>
          <w:p>
            <w:pPr>
              <w:pStyle w:val="Compact"/>
              <w:jc w:val="left"/>
            </w:pPr>
            <w:r>
              <w:rPr>
                <w:bCs/>
                <w:b/>
              </w:rPr>
              <w:t xml:space="preserve">Escalation adequacy (</w:t>
            </w:r>
            <w:r>
              <w:rPr>
                <w:iCs/>
                <w:i/>
                <w:bCs/>
                <w:b/>
              </w:rPr>
              <w:t xml:space="preserve">a</w:t>
            </w:r>
            <w:r>
              <w:rPr>
                <w:bCs/>
                <w:b/>
              </w:rPr>
              <w:t xml:space="preserve"> </w:t>
            </w:r>
            <w:r>
              <w:rPr>
                <w:bCs/>
                <w:b/>
              </w:rPr>
              <w:t xml:space="preserve">≥ 3)</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0.19%</w:t>
            </w:r>
          </w:p>
        </w:tc>
        <w:tc>
          <w:tcPr/>
          <w:p>
            <w:pPr>
              <w:pStyle w:val="Compact"/>
              <w:jc w:val="left"/>
            </w:pPr>
            <w:r>
              <w:t xml:space="preserve">1.000 ± 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 0.19%</w:t>
            </w:r>
          </w:p>
        </w:tc>
        <w:tc>
          <w:tcPr/>
          <w:p>
            <w:pPr>
              <w:pStyle w:val="Compact"/>
              <w:jc w:val="left"/>
            </w:pPr>
            <w:r>
              <w:t xml:space="preserve">1.000 ± 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0.19%</w:t>
            </w:r>
          </w:p>
        </w:tc>
        <w:tc>
          <w:tcPr/>
          <w:p>
            <w:pPr>
              <w:pStyle w:val="Compact"/>
              <w:jc w:val="left"/>
            </w:pPr>
            <w:r>
              <w:t xml:space="preserve">1.000 ± 0.000</w:t>
            </w:r>
          </w:p>
        </w:tc>
      </w:tr>
      <w:tr>
        <w:tc>
          <w:tcPr/>
          <w:p>
            <w:pPr>
              <w:pStyle w:val="Compact"/>
              <w:jc w:val="left"/>
            </w:pPr>
            <w:r>
              <w:t xml:space="preserve">Smoke</w:t>
            </w:r>
          </w:p>
        </w:tc>
        <w:tc>
          <w:tcPr/>
          <w:p>
            <w:pPr>
              <w:pStyle w:val="Compact"/>
              <w:jc w:val="left"/>
            </w:pPr>
            <w:r>
              <w:t xml:space="preserve">Multilayer perceptron</w:t>
            </w:r>
          </w:p>
        </w:tc>
        <w:tc>
          <w:tcPr/>
          <w:p>
            <w:pPr>
              <w:pStyle w:val="Compact"/>
              <w:jc w:val="left"/>
            </w:pPr>
            <w:r>
              <w:rPr>
                <w:bCs/>
                <w:b/>
              </w:rPr>
              <w:t xml:space="preserve">0.1875</w:t>
            </w:r>
          </w:p>
        </w:tc>
        <w:tc>
          <w:tcPr/>
          <w:p>
            <w:pPr>
              <w:pStyle w:val="Compact"/>
              <w:jc w:val="left"/>
            </w:pPr>
            <w:r>
              <w:rPr>
                <w:bCs/>
                <w:b/>
              </w:rPr>
              <w:t xml:space="preserve">≤ 20.41%</w:t>
            </w:r>
          </w:p>
        </w:tc>
        <w:tc>
          <w:tcPr/>
          <w:p>
            <w:pPr>
              <w:pStyle w:val="Compact"/>
              <w:jc w:val="left"/>
            </w:pPr>
            <w:r>
              <w:t xml:space="preserve">0.811 ± 0.137</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0.0043 ± 0.0059</w:t>
            </w:r>
          </w:p>
        </w:tc>
        <w:tc>
          <w:tcPr/>
          <w:p>
            <w:pPr>
              <w:pStyle w:val="Compact"/>
              <w:jc w:val="left"/>
            </w:pPr>
            <w:r>
              <w:t xml:space="preserve">≤ 0.83%</w:t>
            </w:r>
          </w:p>
        </w:tc>
        <w:tc>
          <w:tcPr/>
          <w:p>
            <w:pPr>
              <w:pStyle w:val="Compact"/>
              <w:jc w:val="left"/>
            </w:pPr>
            <w:r>
              <w:rPr>
                <w:bCs/>
                <w:b/>
              </w:rPr>
              <w:t xml:space="preserve">0.298 ± 0.086</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 0.19%</w:t>
            </w:r>
          </w:p>
        </w:tc>
        <w:tc>
          <w:tcPr/>
          <w:p>
            <w:pPr>
              <w:pStyle w:val="Compact"/>
              <w:jc w:val="left"/>
            </w:pPr>
            <w:r>
              <w:rPr>
                <w:bCs/>
                <w:b/>
              </w:rPr>
              <w:t xml:space="preserve">0.249 ± 0.123</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0.0035 ± 0.0045</w:t>
            </w:r>
          </w:p>
        </w:tc>
        <w:tc>
          <w:tcPr/>
          <w:p>
            <w:pPr>
              <w:pStyle w:val="Compact"/>
              <w:jc w:val="left"/>
            </w:pPr>
            <w:r>
              <w:t xml:space="preserve">≤ 0.75%</w:t>
            </w:r>
          </w:p>
        </w:tc>
        <w:tc>
          <w:tcPr/>
          <w:p>
            <w:pPr>
              <w:pStyle w:val="Compact"/>
              <w:jc w:val="left"/>
            </w:pPr>
            <w:r>
              <w:rPr>
                <w:bCs/>
                <w:b/>
              </w:rPr>
              <w:t xml:space="preserve">0.289 ± 0.142</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0.19%</w:t>
            </w:r>
          </w:p>
        </w:tc>
        <w:tc>
          <w:tcPr/>
          <w:p>
            <w:pPr>
              <w:pStyle w:val="Compact"/>
              <w:jc w:val="left"/>
            </w:pPr>
            <w:r>
              <w:rPr>
                <w:bCs/>
                <w:b/>
              </w:rPr>
              <w:t xml:space="preserve">1.000 ± 0.000</w:t>
            </w:r>
          </w:p>
        </w:tc>
      </w:tr>
    </w:tbl>
    <w:p>
      <w:pPr>
        <w:pStyle w:val="BodyText"/>
      </w:pPr>
      <w:r>
        <w:rPr>
          <w:bCs/>
          <w:b/>
        </w:rPr>
        <w:t xml:space="preserve">Table 8 — Leave-one-class-out evaluation on withheld hazardous classes.</w:t>
      </w:r>
      <w:r>
        <w:t xml:space="preserve"> </w:t>
      </w:r>
      <w:r>
        <w:rPr>
          <w:iCs/>
          <w:i/>
        </w:rPr>
        <w:t xml:space="preserve">n</w:t>
      </w:r>
      <w:r>
        <w:t xml:space="preserve"> </w:t>
      </w:r>
      <w:r>
        <w:t xml:space="preserve">= 1,581 hazardous windows per cell; bounds are one-sided 95% Clopper–Pearson. Held-out NoGas and Perfume produced no misses and no high-severity false alarms for any model and are omitted.</w:t>
      </w:r>
    </w:p>
    <w:p>
      <w:pPr>
        <w:pStyle w:val="BodyText"/>
      </w:pPr>
      <w:r>
        <w:t xml:space="preserve">Two findings follow, and they point in opposite directions.</w:t>
      </w:r>
    </w:p>
    <w:p>
      <w:pPr>
        <w:pStyle w:val="BodyText"/>
      </w:pPr>
      <w:r>
        <w:rPr>
          <w:bCs/>
          <w:b/>
        </w:rPr>
        <w:t xml:space="preserve">In-distribution accuracy does not predict out-of-distribution missed-hazard rate.</w:t>
      </w:r>
      <w:r>
        <w:t xml:space="preserve"> </w:t>
      </w:r>
      <w:r>
        <w:t xml:space="preserve">On withheld Smoke, the multilayer perceptron — statistically indistinguishable from every other model in Table 7, and in fact fifth of eight by point accuracy — assigns the passive</w:t>
      </w:r>
      <w:r>
        <w:t xml:space="preserve"> </w:t>
      </w:r>
      <w:r>
        <w:rPr>
          <w:iCs/>
          <w:i/>
        </w:rPr>
        <w:t xml:space="preserve">Monitor</w:t>
      </w:r>
      <w:r>
        <w:t xml:space="preserve"> </w:t>
      </w:r>
      <w:r>
        <w:t xml:space="preserve">action to 18.7% of unseen hazardous windows (95% CP bound ≤ 20.41%). The other three models bound their miss rate at ≤ 0.19%, two orders of magnitude lower.</w:t>
      </w:r>
      <w:r>
        <w:t xml:space="preserve"> </w:t>
      </w:r>
      <w:r>
        <w:rPr>
          <w:bCs/>
          <w:b/>
        </w:rPr>
        <w:t xml:space="preserve">Nothing in Table 7 anticipates this separation</w:t>
      </w:r>
      <w:r>
        <w:t xml:space="preserve">, and no accuracy-based selection procedure would have avoided the failing model.</w:t>
      </w:r>
    </w:p>
    <w:p>
      <w:pPr>
        <w:pStyle w:val="BodyText"/>
      </w:pPr>
      <w:r>
        <w:rPr>
          <w:bCs/>
          <w:b/>
        </w:rPr>
        <w:t xml:space="preserve">Missed-hazard rate is itself insufficient.</w:t>
      </w:r>
      <w:r>
        <w:t xml:space="preserve"> </w:t>
      </w:r>
      <w:r>
        <w:t xml:space="preserve">On withheld Mixture, all four models bound their miss rate below 0.83%, and by that metric all four pass. Yet three of them escalate only about a quarter to a third of unseen hazardous windows to alarm-grade action: 29.8 ± 8.6% for the cost-weighted policy, 24.9 ± 12.3% for the unweighted network, 28.9 ± 14.2% for the perceptron. The remaining windows — roughly seven in ten — receive</w:t>
      </w:r>
      <w:r>
        <w:t xml:space="preserve"> </w:t>
      </w:r>
      <w:r>
        <w:rPr>
          <w:iCs/>
          <w:i/>
        </w:rPr>
        <w:t xml:space="preserve">Increase Sampling</w:t>
      </w:r>
      <w:r>
        <w:t xml:space="preserve"> </w:t>
      </w:r>
      <w:r>
        <w:t xml:space="preserve">or</w:t>
      </w:r>
      <w:r>
        <w:t xml:space="preserve"> </w:t>
      </w:r>
      <w:r>
        <w:rPr>
          <w:iCs/>
          <w:i/>
        </w:rPr>
        <w:t xml:space="preserve">Request Verification</w:t>
      </w:r>
      <w:r>
        <w:t xml:space="preserve">, a sub-alarm response to the most hazardous class in the corpus, from which no operator notification results. The miss metric does not register this, because it counts only</w:t>
      </w:r>
      <w:r>
        <w:t xml:space="preserve"> </w:t>
      </w:r>
      <w:r>
        <w:rPr>
          <w:iCs/>
          <w:i/>
        </w:rPr>
        <w:t xml:space="preserve">a</w:t>
      </w:r>
      <w:r>
        <w:t xml:space="preserve"> </w:t>
      </w:r>
      <w:r>
        <w:t xml:space="preserve">= 0.</w:t>
      </w:r>
    </w:p>
    <w:p>
      <w:pPr>
        <w:pStyle w:val="BodyText"/>
      </w:pPr>
      <w:r>
        <w:rPr>
          <w:bCs/>
          <w:b/>
        </w:rPr>
        <w:t xml:space="preserve">Gradient boosting, which is not a cost-weighted model and carries none of the pipeline’s safety machinery, escalates 100% of the same windows</w:t>
      </w:r>
      <w:r>
        <w:t xml:space="preserve"> </w:t>
      </w:r>
      <w:r>
        <w:t xml:space="preserve">— a factor of 3.4 better than the cost-weighted policy on the quantity that determines whether an operator is told. We report this because it is the more useful result. A metric set reporting missed-hazard rate alone would select the cost-weighted policy over gradient boosting on this evidence and would be wrong to do so.</w:t>
      </w:r>
    </w:p>
    <w:p>
      <w:pPr>
        <w:pStyle w:val="BodyText"/>
      </w:pPr>
      <w:r>
        <w:t xml:space="preserve">The general statement is that</w:t>
      </w:r>
      <w:r>
        <w:t xml:space="preserve"> </w:t>
      </w:r>
      <w:r>
        <w:rPr>
          <w:bCs/>
          <w:b/>
        </w:rPr>
        <w:t xml:space="preserve">the choice of safety metric, not the choice of model, determines which model appears safe.</w:t>
      </w:r>
      <w:r>
        <w:t xml:space="preserve"> </w:t>
      </w:r>
      <w:r>
        <w:t xml:space="preserve">Escalation adequacy must be reported alongside missed-hazard rate, and a hazardous window answered with a request for verification must not be scored as a success.</w:t>
      </w:r>
    </w:p>
    <w:bookmarkEnd w:id="41"/>
    <w:bookmarkStart w:id="42" w:name="cost-asymmetry-sweep-a-negative-result"/>
    <w:p>
      <w:pPr>
        <w:pStyle w:val="Heading3"/>
      </w:pPr>
      <w:r>
        <w:t xml:space="preserve">4.4 Cost-asymmetry sweep: a negative result</w:t>
      </w:r>
    </w:p>
    <w:p>
      <w:pPr>
        <w:pStyle w:val="FirstParagraph"/>
      </w:pPr>
      <w:r>
        <w:t xml:space="preserve">The loss-weight ratio</w:t>
      </w:r>
      <w:r>
        <w:t xml:space="preserve"> </w:t>
      </w:r>
      <w:r>
        <w:rPr>
          <w:iCs/>
          <w:i/>
        </w:rPr>
        <w:t xml:space="preserve">C</w:t>
      </w:r>
      <w:r>
        <w:t xml:space="preserve"> </w:t>
      </w:r>
      <w:r>
        <w:t xml:space="preserve">of Eq. 2 was swept across nine values with all else held fixed, five seeds each (</w:t>
      </w:r>
      <w:r>
        <w:rPr>
          <w:bCs/>
          <w:b/>
        </w:rPr>
        <w:t xml:space="preserve">Table 9</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 rate</w:t>
            </w:r>
          </w:p>
        </w:tc>
        <w:tc>
          <w:tcPr/>
          <w:p>
            <w:pPr>
              <w:pStyle w:val="Compact"/>
              <w:jc w:val="left"/>
            </w:pPr>
            <w:r>
              <w:t xml:space="preserve">High-severity FA rate</w:t>
            </w:r>
          </w:p>
        </w:tc>
      </w:tr>
      <w:tr>
        <w:tc>
          <w:tcPr/>
          <w:p>
            <w:pPr>
              <w:pStyle w:val="Compact"/>
              <w:jc w:val="left"/>
            </w:pPr>
            <w:r>
              <w:t xml:space="preserve">1:1 (symmetric)</w:t>
            </w:r>
          </w:p>
        </w:tc>
        <w:tc>
          <w:tcPr/>
          <w:p>
            <w:pPr>
              <w:pStyle w:val="Compact"/>
              <w:jc w:val="left"/>
            </w:pPr>
            <w:r>
              <w:t xml:space="preserve">0.9563</w:t>
            </w:r>
          </w:p>
        </w:tc>
        <w:tc>
          <w:tcPr/>
          <w:p>
            <w:pPr>
              <w:pStyle w:val="Compact"/>
              <w:jc w:val="left"/>
            </w:pPr>
            <w:r>
              <w:t xml:space="preserve">0.0378</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0.9535</w:t>
            </w:r>
          </w:p>
        </w:tc>
        <w:tc>
          <w:tcPr/>
          <w:p>
            <w:pPr>
              <w:pStyle w:val="Compact"/>
              <w:jc w:val="left"/>
            </w:pPr>
            <w:r>
              <w:t xml:space="preserve">0.0434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0.9559</w:t>
            </w:r>
          </w:p>
        </w:tc>
        <w:tc>
          <w:tcPr/>
          <w:p>
            <w:pPr>
              <w:pStyle w:val="Compact"/>
              <w:jc w:val="left"/>
            </w:pPr>
            <w:r>
              <w:t xml:space="preserve">0.0420</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0.9658</w:t>
            </w:r>
          </w:p>
        </w:tc>
        <w:tc>
          <w:tcPr/>
          <w:p>
            <w:pPr>
              <w:pStyle w:val="Compact"/>
              <w:jc w:val="left"/>
            </w:pPr>
            <w:r>
              <w:t xml:space="preserve">0.0274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0.9633</w:t>
            </w:r>
          </w:p>
        </w:tc>
        <w:tc>
          <w:tcPr/>
          <w:p>
            <w:pPr>
              <w:pStyle w:val="Compact"/>
              <w:jc w:val="left"/>
            </w:pPr>
            <w:r>
              <w:t xml:space="preserve">0.0215</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0.9584</w:t>
            </w:r>
          </w:p>
        </w:tc>
        <w:tc>
          <w:tcPr/>
          <w:p>
            <w:pPr>
              <w:pStyle w:val="Compact"/>
              <w:jc w:val="left"/>
            </w:pPr>
            <w:r>
              <w:t xml:space="preserve">0.0340</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0.9535</w:t>
            </w:r>
          </w:p>
        </w:tc>
        <w:tc>
          <w:tcPr/>
          <w:p>
            <w:pPr>
              <w:pStyle w:val="Compact"/>
              <w:jc w:val="left"/>
            </w:pPr>
            <w:r>
              <w:t xml:space="preserve">0.0335</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0.9448</w:t>
            </w:r>
          </w:p>
        </w:tc>
        <w:tc>
          <w:tcPr/>
          <w:p>
            <w:pPr>
              <w:pStyle w:val="Compact"/>
              <w:jc w:val="left"/>
            </w:pPr>
            <w:r>
              <w:t xml:space="preserve">0.0489</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0.8396</w:t>
            </w:r>
          </w:p>
        </w:tc>
        <w:tc>
          <w:tcPr/>
          <w:p>
            <w:pPr>
              <w:pStyle w:val="Compact"/>
              <w:jc w:val="left"/>
            </w:pPr>
            <w:r>
              <w:t xml:space="preserve">0.1194</w:t>
            </w:r>
          </w:p>
        </w:tc>
        <w:tc>
          <w:tcPr/>
          <w:p>
            <w:pPr>
              <w:pStyle w:val="Compact"/>
              <w:jc w:val="left"/>
            </w:pPr>
            <w:r>
              <w:t xml:space="preserve">0.0000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0.0000</w:t>
            </w:r>
          </w:p>
        </w:tc>
      </w:tr>
    </w:tbl>
    <w:p>
      <w:pPr>
        <w:pStyle w:val="BodyText"/>
      </w:pPr>
      <w:r>
        <w:rPr>
          <w:bCs/>
          <w:b/>
        </w:rPr>
        <w:t xml:space="preserve">Table 9 — Cost-asymmetry sweep, five seeds per configuration.</w:t>
      </w:r>
      <w:r>
        <w:t xml:space="preserve"> </w:t>
      </w:r>
      <w:r>
        <w:t xml:space="preserve">The label-function row applies</w:t>
      </w:r>
      <w:r>
        <w:t xml:space="preserve"> </w:t>
      </w:r>
      <w:r>
        <w:rPr>
          <w:iCs/>
          <w:i/>
        </w:rPr>
        <w:t xml:space="preserve">a</w:t>
      </w:r>
      <w:r>
        <w:t xml:space="preserve">*(·) to the true class label; it attains the ceiling by construction, requires the label it is meant to infer, and is not a deployable baseline.</w:t>
      </w:r>
    </w:p>
    <w:p>
      <w:pPr>
        <w:pStyle w:val="BodyText"/>
      </w:pPr>
      <w:r>
        <w:rPr>
          <w:bCs/>
          <w:b/>
        </w:rPr>
        <w:t xml:space="preserve">The observed missed-hazard rate is zero at every ratio, including the symmetric 1:1 configuration.</w:t>
      </w:r>
      <w:r>
        <w:t xml:space="preserve"> </w:t>
      </w:r>
      <w:r>
        <w:t xml:space="preserve">Accuracy rises modestly to a maximum of 0.9658 at 6:1, is 0.9633 at the deployed 8:1, and falls monotonically thereafter to 0.8396 at 20:1 — twelve accuracy points below the peak. No configuration produces a high-severity false alarm.</w:t>
      </w:r>
    </w:p>
    <w:p>
      <w:pPr>
        <w:pStyle w:val="BodyText"/>
      </w:pPr>
      <w:r>
        <w:t xml:space="preserve">Cost asymmetry therefore produced no measurable safety benefit on this corpus, and beyond 6:1 it cost accuracy. We attribute this to the structure of the problem rather than to the mechanism. Because the target action is a deterministic function of a well-separated class label, and because a miss under this definition requires assigning a hazardous window to the class furthest from it in feature space, the miss rate already sits at the floor before any weighting is applied. There is no error surface for the asymmetry to reshape.</w:t>
      </w:r>
    </w:p>
    <w:p>
      <w:pPr>
        <w:pStyle w:val="BodyText"/>
      </w:pPr>
      <w:r>
        <w:t xml:space="preserve">The correct inference is not that cost-sensitive learning is ineffective in general — the literature is unambiguous that it is effective where the error surface is nontrivial (Elkan 2001) — but that</w:t>
      </w:r>
      <w:r>
        <w:t xml:space="preserve"> </w:t>
      </w:r>
      <w:r>
        <w:rPr>
          <w:bCs/>
          <w:b/>
        </w:rPr>
        <w:t xml:space="preserve">this benchmark cannot demonstrate it</w:t>
      </w:r>
      <w:r>
        <w:t xml:space="preserve">, and, by extension, that no saturated and well-separated benchmark can. Validating a safety objective requires either a corpus in which hazardous and benign states genuinely overlap, or a metric under which under-escalation carries cost. Section 4.3 supplies the second, and under it the cost-weighted policy does not lead.</w:t>
      </w:r>
    </w:p>
    <w:p>
      <w:pPr>
        <w:pStyle w:val="BodyText"/>
      </w:pPr>
      <w:r>
        <w:t xml:space="preserve">We note also that the deployed 8:1 configuration is not the accuracy optimum and was selected on test-partition dispersion; re-selection on a held-out validation split is an open item (Appendix A).</w:t>
      </w:r>
    </w:p>
    <w:bookmarkEnd w:id="42"/>
    <w:bookmarkStart w:id="43" w:name="X225477d69228670a9f54d71632bffe29e517aab"/>
    <w:p>
      <w:pPr>
        <w:pStyle w:val="Heading3"/>
      </w:pPr>
      <w:r>
        <w:t xml:space="preserve">4.5 Perturbation: where accuracy and safety behavior diverge</w:t>
      </w:r>
    </w:p>
    <w:p>
      <w:pPr>
        <w:pStyle w:val="FirstParagraph"/>
      </w:pPr>
      <w:r>
        <w:rPr>
          <w:bCs/>
          <w:b/>
        </w:rPr>
        <w:t xml:space="preserve">Table 10</w:t>
      </w:r>
      <w:r>
        <w:t xml:space="preserve"> </w:t>
      </w:r>
      <w:r>
        <w:t xml:space="preserve">reports behavior under additive Gaussian noise, calibration drift, and sensor-channel dropout.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Missed-hazard rate</w:t>
            </w:r>
          </w:p>
        </w:tc>
      </w:tr>
      <w:tr>
        <w:tc>
          <w:tcPr/>
          <w:p>
            <w:pPr>
              <w:pStyle w:val="Compact"/>
              <w:jc w:val="left"/>
            </w:pPr>
            <w:r>
              <w:t xml:space="preserve">Clean holdout</w:t>
            </w:r>
          </w:p>
        </w:tc>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r>
      <w:tr>
        <w:tc>
          <w:tcPr/>
          <w:p>
            <w:pPr>
              <w:pStyle w:val="Compact"/>
              <w:jc w:val="left"/>
            </w:pPr>
            <w:r>
              <w:t xml:space="preserve">Clean holdout</w:t>
            </w:r>
          </w:p>
        </w:tc>
        <w:tc>
          <w:tcPr/>
          <w:p>
            <w:pPr>
              <w:pStyle w:val="Compact"/>
              <w:jc w:val="left"/>
            </w:pPr>
            <w:r>
              <w:t xml:space="preserve">Supervised MLP</w:t>
            </w:r>
          </w:p>
        </w:tc>
        <w:tc>
          <w:tcPr/>
          <w:p>
            <w:pPr>
              <w:pStyle w:val="Compact"/>
              <w:jc w:val="left"/>
            </w:pPr>
            <w:r>
              <w:t xml:space="preserve">98.20%</w:t>
            </w:r>
          </w:p>
        </w:tc>
        <w:tc>
          <w:tcPr/>
          <w:p>
            <w:pPr>
              <w:pStyle w:val="Compact"/>
              <w:jc w:val="left"/>
            </w:pPr>
            <w:r>
              <w:t xml:space="preserve">0.0000</w:t>
            </w:r>
          </w:p>
        </w:tc>
      </w:tr>
      <w:tr>
        <w:tc>
          <w:tcPr/>
          <w:p>
            <w:pPr>
              <w:pStyle w:val="Compact"/>
              <w:jc w:val="left"/>
            </w:pPr>
            <w:r>
              <w:t xml:space="preserve">Clean holdout</w:t>
            </w:r>
          </w:p>
        </w:tc>
        <w:tc>
          <w:tcPr/>
          <w:p>
            <w:pPr>
              <w:pStyle w:val="Compact"/>
              <w:jc w:val="left"/>
            </w:pPr>
            <w:r>
              <w:t xml:space="preserve">Cost-weighted policy</w:t>
            </w:r>
          </w:p>
        </w:tc>
        <w:tc>
          <w:tcPr/>
          <w:p>
            <w:pPr>
              <w:pStyle w:val="Compact"/>
              <w:jc w:val="left"/>
            </w:pPr>
            <w:r>
              <w:t xml:space="preserve">94.44%</w:t>
            </w:r>
          </w:p>
        </w:tc>
        <w:tc>
          <w:tcPr/>
          <w:p>
            <w:pPr>
              <w:pStyle w:val="Compact"/>
              <w:jc w:val="left"/>
            </w:pPr>
            <w:r>
              <w:t xml:space="preserve">0.0000</w:t>
            </w:r>
          </w:p>
        </w:tc>
      </w:tr>
      <w:tr>
        <w:tc>
          <w:tcPr/>
          <w:p>
            <w:pPr>
              <w:pStyle w:val="Compact"/>
              <w:jc w:val="left"/>
            </w:pPr>
            <w:r>
              <w:t xml:space="preserve">Gaussian noise, σ = 0.20</w:t>
            </w:r>
          </w:p>
        </w:tc>
        <w:tc>
          <w:tcPr/>
          <w:p>
            <w:pPr>
              <w:pStyle w:val="Compact"/>
              <w:jc w:val="left"/>
            </w:pPr>
            <w:r>
              <w:t xml:space="preserve">Supervised MLP</w:t>
            </w:r>
          </w:p>
        </w:tc>
        <w:tc>
          <w:tcPr/>
          <w:p>
            <w:pPr>
              <w:pStyle w:val="Compact"/>
              <w:jc w:val="left"/>
            </w:pPr>
            <w:r>
              <w:t xml:space="preserve">89.7%</w:t>
            </w:r>
          </w:p>
        </w:tc>
        <w:tc>
          <w:tcPr/>
          <w:p>
            <w:pPr>
              <w:pStyle w:val="Compact"/>
              <w:jc w:val="left"/>
            </w:pPr>
            <w:r>
              <w:t xml:space="preserve">0.0000</w:t>
            </w:r>
          </w:p>
        </w:tc>
      </w:tr>
      <w:tr>
        <w:tc>
          <w:tcPr/>
          <w:p>
            <w:pPr>
              <w:pStyle w:val="Compact"/>
              <w:jc w:val="left"/>
            </w:pPr>
            <w:r>
              <w:t xml:space="preserve">Gaussian noise, σ = 0.20</w:t>
            </w:r>
          </w:p>
        </w:tc>
        <w:tc>
          <w:tcPr/>
          <w:p>
            <w:pPr>
              <w:pStyle w:val="Compact"/>
              <w:jc w:val="left"/>
            </w:pPr>
            <w:r>
              <w:t xml:space="preserve">Cost-weighted policy</w:t>
            </w:r>
          </w:p>
        </w:tc>
        <w:tc>
          <w:tcPr/>
          <w:p>
            <w:pPr>
              <w:pStyle w:val="Compact"/>
              <w:jc w:val="left"/>
            </w:pPr>
            <w:r>
              <w:t xml:space="preserve">73.2%</w:t>
            </w:r>
          </w:p>
        </w:tc>
        <w:tc>
          <w:tcPr/>
          <w:p>
            <w:pPr>
              <w:pStyle w:val="Compact"/>
              <w:jc w:val="left"/>
            </w:pPr>
            <w:r>
              <w:t xml:space="preserve">0.0000</w:t>
            </w:r>
          </w:p>
        </w:tc>
      </w:tr>
      <w:tr>
        <w:tc>
          <w:tcPr/>
          <w:p>
            <w:pPr>
              <w:pStyle w:val="Compact"/>
              <w:jc w:val="left"/>
            </w:pPr>
            <w:r>
              <w:t xml:space="preserve">Gaussian noise, σ = 0.40</w:t>
            </w:r>
          </w:p>
        </w:tc>
        <w:tc>
          <w:tcPr/>
          <w:p>
            <w:pPr>
              <w:pStyle w:val="Compact"/>
              <w:jc w:val="left"/>
            </w:pPr>
            <w:r>
              <w:t xml:space="preserve">Supervised MLP</w:t>
            </w:r>
          </w:p>
        </w:tc>
        <w:tc>
          <w:tcPr/>
          <w:p>
            <w:pPr>
              <w:pStyle w:val="Compact"/>
              <w:jc w:val="left"/>
            </w:pPr>
            <w:r>
              <w:t xml:space="preserve">69.3%</w:t>
            </w:r>
          </w:p>
        </w:tc>
        <w:tc>
          <w:tcPr/>
          <w:p>
            <w:pPr>
              <w:pStyle w:val="Compact"/>
              <w:jc w:val="left"/>
            </w:pPr>
            <w:r>
              <w:t xml:space="preserve">0.0000</w:t>
            </w:r>
          </w:p>
        </w:tc>
      </w:tr>
      <w:tr>
        <w:tc>
          <w:tcPr/>
          <w:p>
            <w:pPr>
              <w:pStyle w:val="Compact"/>
              <w:jc w:val="left"/>
            </w:pPr>
            <w:r>
              <w:t xml:space="preserve">Gaussian noise, σ = 0.40</w:t>
            </w:r>
          </w:p>
        </w:tc>
        <w:tc>
          <w:tcPr/>
          <w:p>
            <w:pPr>
              <w:pStyle w:val="Compact"/>
              <w:jc w:val="left"/>
            </w:pPr>
            <w:r>
              <w:t xml:space="preserve">Cost-weighted policy</w:t>
            </w:r>
          </w:p>
        </w:tc>
        <w:tc>
          <w:tcPr/>
          <w:p>
            <w:pPr>
              <w:pStyle w:val="Compact"/>
              <w:jc w:val="left"/>
            </w:pPr>
            <w:r>
              <w:t xml:space="preserve">58.0%</w:t>
            </w:r>
          </w:p>
        </w:tc>
        <w:tc>
          <w:tcPr/>
          <w:p>
            <w:pPr>
              <w:pStyle w:val="Compact"/>
              <w:jc w:val="left"/>
            </w:pPr>
            <w:r>
              <w:t xml:space="preserve">0.0000</w:t>
            </w:r>
          </w:p>
        </w:tc>
      </w:tr>
      <w:tr>
        <w:tc>
          <w:tcPr/>
          <w:p>
            <w:pPr>
              <w:pStyle w:val="Compact"/>
              <w:jc w:val="left"/>
            </w:pPr>
            <w:r>
              <w:t xml:space="preserve">Calibration drift, ±40%</w:t>
            </w:r>
          </w:p>
        </w:tc>
        <w:tc>
          <w:tcPr/>
          <w:p>
            <w:pPr>
              <w:pStyle w:val="Compact"/>
              <w:jc w:val="left"/>
            </w:pPr>
            <w:r>
              <w:t xml:space="preserve">Supervised MLP</w:t>
            </w:r>
          </w:p>
        </w:tc>
        <w:tc>
          <w:tcPr/>
          <w:p>
            <w:pPr>
              <w:pStyle w:val="Compact"/>
              <w:jc w:val="left"/>
            </w:pPr>
            <w:r>
              <w:t xml:space="preserve">59.1%</w:t>
            </w:r>
          </w:p>
        </w:tc>
        <w:tc>
          <w:tcPr/>
          <w:p>
            <w:pPr>
              <w:pStyle w:val="Compact"/>
              <w:jc w:val="left"/>
            </w:pPr>
            <w:r>
              <w:rPr>
                <w:bCs/>
                <w:b/>
              </w:rPr>
              <w:t xml:space="preserve">0.0187</w:t>
            </w:r>
          </w:p>
        </w:tc>
      </w:tr>
      <w:tr>
        <w:tc>
          <w:tcPr/>
          <w:p>
            <w:pPr>
              <w:pStyle w:val="Compact"/>
              <w:jc w:val="left"/>
            </w:pPr>
            <w:r>
              <w:t xml:space="preserve">Calibration drift, ±40%</w:t>
            </w:r>
          </w:p>
        </w:tc>
        <w:tc>
          <w:tcPr/>
          <w:p>
            <w:pPr>
              <w:pStyle w:val="Compact"/>
              <w:jc w:val="left"/>
            </w:pPr>
            <w:r>
              <w:t xml:space="preserve">Cost-weighted policy</w:t>
            </w:r>
          </w:p>
        </w:tc>
        <w:tc>
          <w:tcPr/>
          <w:p>
            <w:pPr>
              <w:pStyle w:val="Compact"/>
              <w:jc w:val="left"/>
            </w:pPr>
            <w:r>
              <w:t xml:space="preserve">53.7%</w:t>
            </w:r>
          </w:p>
        </w:tc>
        <w:tc>
          <w:tcPr/>
          <w:p>
            <w:pPr>
              <w:pStyle w:val="Compact"/>
              <w:jc w:val="left"/>
            </w:pPr>
            <w:r>
              <w:t xml:space="preserve">0.0000</w:t>
            </w:r>
          </w:p>
        </w:tc>
      </w:tr>
      <w:tr>
        <w:tc>
          <w:tcPr/>
          <w:p>
            <w:pPr>
              <w:pStyle w:val="Compact"/>
              <w:jc w:val="left"/>
            </w:pPr>
            <w:r>
              <w:t xml:space="preserve">Channel dropout, 1 sensor</w:t>
            </w:r>
          </w:p>
        </w:tc>
        <w:tc>
          <w:tcPr/>
          <w:p>
            <w:pPr>
              <w:pStyle w:val="Compact"/>
              <w:jc w:val="left"/>
            </w:pPr>
            <w:r>
              <w:t xml:space="preserve">Supervised MLP</w:t>
            </w:r>
          </w:p>
        </w:tc>
        <w:tc>
          <w:tcPr/>
          <w:p>
            <w:pPr>
              <w:pStyle w:val="Compact"/>
              <w:jc w:val="left"/>
            </w:pPr>
            <w:r>
              <w:t xml:space="preserve">36.0%</w:t>
            </w:r>
          </w:p>
        </w:tc>
        <w:tc>
          <w:tcPr/>
          <w:p>
            <w:pPr>
              <w:pStyle w:val="Compact"/>
              <w:jc w:val="left"/>
            </w:pPr>
            <w:r>
              <w:t xml:space="preserve">0.0000</w:t>
            </w:r>
          </w:p>
        </w:tc>
      </w:tr>
      <w:tr>
        <w:tc>
          <w:tcPr/>
          <w:p>
            <w:pPr>
              <w:pStyle w:val="Compact"/>
              <w:jc w:val="left"/>
            </w:pPr>
            <w:r>
              <w:t xml:space="preserve">Channel dropout, 1 sensor</w:t>
            </w:r>
          </w:p>
        </w:tc>
        <w:tc>
          <w:tcPr/>
          <w:p>
            <w:pPr>
              <w:pStyle w:val="Compact"/>
              <w:jc w:val="left"/>
            </w:pPr>
            <w:r>
              <w:t xml:space="preserve">Cost-weighted policy</w:t>
            </w:r>
          </w:p>
        </w:tc>
        <w:tc>
          <w:tcPr/>
          <w:p>
            <w:pPr>
              <w:pStyle w:val="Compact"/>
              <w:jc w:val="left"/>
            </w:pPr>
            <w:r>
              <w:t xml:space="preserve">55.6%</w:t>
            </w:r>
          </w:p>
        </w:tc>
        <w:tc>
          <w:tcPr/>
          <w:p>
            <w:pPr>
              <w:pStyle w:val="Compact"/>
              <w:jc w:val="left"/>
            </w:pPr>
            <w:r>
              <w:t xml:space="preserve">0.0000</w:t>
            </w:r>
          </w:p>
        </w:tc>
      </w:tr>
      <w:tr>
        <w:tc>
          <w:tcPr/>
          <w:p>
            <w:pPr>
              <w:pStyle w:val="Compact"/>
              <w:jc w:val="left"/>
            </w:pPr>
            <w:r>
              <w:t xml:space="preserve">Channel dropout, 3 sensors</w:t>
            </w:r>
          </w:p>
        </w:tc>
        <w:tc>
          <w:tcPr/>
          <w:p>
            <w:pPr>
              <w:pStyle w:val="Compact"/>
              <w:jc w:val="left"/>
            </w:pPr>
            <w:r>
              <w:t xml:space="preserve">Supervised MLP</w:t>
            </w:r>
          </w:p>
        </w:tc>
        <w:tc>
          <w:tcPr/>
          <w:p>
            <w:pPr>
              <w:pStyle w:val="Compact"/>
              <w:jc w:val="left"/>
            </w:pPr>
            <w:r>
              <w:t xml:space="preserve">28.9%</w:t>
            </w:r>
          </w:p>
        </w:tc>
        <w:tc>
          <w:tcPr/>
          <w:p>
            <w:pPr>
              <w:pStyle w:val="Compact"/>
              <w:jc w:val="left"/>
            </w:pPr>
            <w:r>
              <w:t xml:space="preserve">0.0000</w:t>
            </w:r>
          </w:p>
        </w:tc>
      </w:tr>
      <w:tr>
        <w:tc>
          <w:tcPr/>
          <w:p>
            <w:pPr>
              <w:pStyle w:val="Compact"/>
              <w:jc w:val="left"/>
            </w:pPr>
            <w:r>
              <w:t xml:space="preserve">Channel dropout, 3 sensors</w:t>
            </w:r>
          </w:p>
        </w:tc>
        <w:tc>
          <w:tcPr/>
          <w:p>
            <w:pPr>
              <w:pStyle w:val="Compact"/>
              <w:jc w:val="left"/>
            </w:pPr>
            <w:r>
              <w:t xml:space="preserve">Cost-weighted policy</w:t>
            </w:r>
          </w:p>
        </w:tc>
        <w:tc>
          <w:tcPr/>
          <w:p>
            <w:pPr>
              <w:pStyle w:val="Compact"/>
              <w:jc w:val="left"/>
            </w:pPr>
            <w:r>
              <w:t xml:space="preserve">29.9%</w:t>
            </w:r>
          </w:p>
        </w:tc>
        <w:tc>
          <w:tcPr/>
          <w:p>
            <w:pPr>
              <w:pStyle w:val="Compact"/>
              <w:jc w:val="left"/>
            </w:pPr>
            <w:r>
              <w:t xml:space="preserve">0.0000</w:t>
            </w:r>
          </w:p>
        </w:tc>
      </w:tr>
    </w:tbl>
    <w:p>
      <w:pPr>
        <w:pStyle w:val="BodyText"/>
      </w:pPr>
      <w:r>
        <w:rPr>
          <w:bCs/>
          <w:b/>
        </w:rPr>
        <w:t xml:space="preserve">Table 10 — Clean and perturbed holdout behavior.</w:t>
      </w:r>
      <w:r>
        <w:t xml:space="preserve"> </w:t>
      </w:r>
      <w:r>
        <w:t xml:space="preserve">The label-function row is a ceiling by construction, not a baseline, and is not evaluated under perturbation because it consumes the true label. Escalation adequacy and high-severity false-alarm rate under perturbation are not available in the present run set and are an open item (Appendix A).</w:t>
      </w:r>
    </w:p>
    <w:p>
      <w:pPr>
        <w:pStyle w:val="BodyText"/>
      </w:pPr>
      <w:r>
        <w:t xml:space="preserve">The clearest safety distinction appears under calibration drift. The supervised perceptron retains higher decision accuracy than the cost-weighted policy (59.1% against 53.7%) while introducing a missed-hazard rate of 0.0187; the cost-weighted policy records none.</w:t>
      </w:r>
      <w:r>
        <w:t xml:space="preserve"> </w:t>
      </w:r>
      <w:r>
        <w:rPr>
          <w:bCs/>
          <w:b/>
        </w:rPr>
        <w:t xml:space="preserve">The more accurate model is the less safe one, and no accuracy table would reveal it.</w:t>
      </w:r>
      <w:r>
        <w:t xml:space="preserve"> </w:t>
      </w:r>
      <w:r>
        <w:t xml:space="preserve">Under single-channel dropout the ordering reverses on accuracy as well, the policy retaining 55.6% against the perceptron’s 36.0%, while both preserve zero misses.</w:t>
      </w:r>
    </w:p>
    <w:p>
      <w:pPr>
        <w:pStyle w:val="BodyText"/>
      </w:pPr>
      <w:r>
        <w:t xml:space="preserve">Two qualifications are essential to reading this table honestly. First, at accuracies below roughly 60% neither model is performing the task in any operationally useful sense;</w:t>
      </w:r>
      <w:r>
        <w:t xml:space="preserve"> </w:t>
      </w:r>
      <w:r>
        <w:t xml:space="preserve">“</w:t>
      </w:r>
      <w:r>
        <w:t xml:space="preserve">zero missed hazards</w:t>
      </w:r>
      <w:r>
        <w:t xml:space="preserve">”</w:t>
      </w:r>
      <w:r>
        <w:t xml:space="preserve"> </w:t>
      </w:r>
      <w:r>
        <w:t xml:space="preserve">at 29.9% accuracy is a statement about failure</w:t>
      </w:r>
      <w:r>
        <w:t xml:space="preserve"> </w:t>
      </w:r>
      <w:r>
        <w:rPr>
          <w:iCs/>
          <w:i/>
        </w:rPr>
        <w:t xml:space="preserve">mode</w:t>
      </w:r>
      <w:r>
        <w:t xml:space="preserve">, not about fitness for service. Second — and this is the more serious gap — in a five-action space, holding the miss rate at zero while accuracy collapses is exactly what indiscriminate escalation would produce. Without escalation adequacy and false-alarm rate under the same perturbations, the present table cannot distinguish graceful degradation from a policy that has become an alarm generator. We flag this rather than resolve it, and we note that under EEMUA (2013) an alarm generator is a safety hazard, not a safe failure.</w:t>
      </w:r>
    </w:p>
    <w:bookmarkEnd w:id="43"/>
    <w:bookmarkStart w:id="44" w:name="confidence-calibration"/>
    <w:p>
      <w:pPr>
        <w:pStyle w:val="Heading3"/>
      </w:pPr>
      <w:r>
        <w:t xml:space="preserve">4.6 Confidence calibration</w:t>
      </w:r>
    </w:p>
    <w:p>
      <w:pPr>
        <w:pStyle w:val="FirstParagraph"/>
      </w:pPr>
      <w:r>
        <w:t xml:space="preserve">Expected calibration error (ECE) was computed for four uncertainty estimators (</w:t>
      </w:r>
      <w:r>
        <w:rPr>
          <w:bCs/>
          <w:b/>
        </w:rPr>
        <w:t xml:space="preserve">Table 11</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Estimator</w:t>
            </w:r>
          </w:p>
        </w:tc>
        <w:tc>
          <w:tcPr/>
          <w:p>
            <w:pPr>
              <w:pStyle w:val="Compact"/>
              <w:jc w:val="left"/>
            </w:pPr>
            <w:r>
              <w:t xml:space="preserve">ECE mean</w:t>
            </w:r>
          </w:p>
        </w:tc>
        <w:tc>
          <w:tcPr/>
          <w:p>
            <w:pPr>
              <w:pStyle w:val="Compact"/>
              <w:jc w:val="left"/>
            </w:pPr>
            <w:r>
              <w:t xml:space="preserve">ECE SD</w:t>
            </w:r>
          </w:p>
        </w:tc>
        <w:tc>
          <w:tcPr/>
          <w:p>
            <w:pPr>
              <w:pStyle w:val="Compact"/>
              <w:jc w:val="left"/>
            </w:pPr>
            <w:r>
              <w:t xml:space="preserve">Accuracy</w:t>
            </w:r>
          </w:p>
        </w:tc>
        <w:tc>
          <w:tcPr/>
          <w:p>
            <w:pPr>
              <w:pStyle w:val="Compact"/>
              <w:jc w:val="left"/>
            </w:pPr>
            <w:r>
              <w:t xml:space="preserve">Wilcoxon</w:t>
            </w:r>
            <w:r>
              <w:t xml:space="preserve"> </w:t>
            </w:r>
            <w:r>
              <w:rPr>
                <w:iCs/>
                <w:i/>
              </w:rPr>
              <w:t xml:space="preserve">p</w:t>
            </w:r>
            <w:r>
              <w:t xml:space="preserve"> </w:t>
            </w:r>
            <w:r>
              <w:t xml:space="preserve">vs. raw</w:t>
            </w:r>
          </w:p>
        </w:tc>
      </w:tr>
      <w:tr>
        <w:tc>
          <w:tcPr/>
          <w:p>
            <w:pPr>
              <w:pStyle w:val="Compact"/>
              <w:jc w:val="left"/>
            </w:pPr>
            <w:r>
              <w:t xml:space="preserve">Raw softmax</w:t>
            </w:r>
          </w:p>
        </w:tc>
        <w:tc>
          <w:tcPr/>
          <w:p>
            <w:pPr>
              <w:pStyle w:val="Compact"/>
              <w:jc w:val="left"/>
            </w:pPr>
            <w:r>
              <w:t xml:space="preserve">0.0489</w:t>
            </w:r>
          </w:p>
        </w:tc>
        <w:tc>
          <w:tcPr/>
          <w:p>
            <w:pPr>
              <w:pStyle w:val="Compact"/>
              <w:jc w:val="left"/>
            </w:pPr>
            <w:r>
              <w:t xml:space="preserve">0.0699</w:t>
            </w:r>
          </w:p>
        </w:tc>
        <w:tc>
          <w:tcPr/>
          <w:p>
            <w:pPr>
              <w:pStyle w:val="Compact"/>
              <w:jc w:val="left"/>
            </w:pPr>
            <w:r>
              <w:t xml:space="preserve">0.9541 ± 0.0363</w:t>
            </w:r>
          </w:p>
        </w:tc>
        <w:tc>
          <w:tcPr/>
          <w:p>
            <w:pPr>
              <w:pStyle w:val="Compact"/>
              <w:jc w:val="left"/>
            </w:pPr>
            <w:r>
              <w:t xml:space="preserve">—</w:t>
            </w:r>
          </w:p>
        </w:tc>
      </w:tr>
      <w:tr>
        <w:tc>
          <w:tcPr/>
          <w:p>
            <w:pPr>
              <w:pStyle w:val="Compact"/>
              <w:jc w:val="left"/>
            </w:pPr>
            <w:r>
              <w:t xml:space="preserve">MC dropout (20 samples)</w:t>
            </w:r>
          </w:p>
        </w:tc>
        <w:tc>
          <w:tcPr/>
          <w:p>
            <w:pPr>
              <w:pStyle w:val="Compact"/>
              <w:jc w:val="left"/>
            </w:pPr>
            <w:r>
              <w:t xml:space="preserve">0.0533</w:t>
            </w:r>
          </w:p>
        </w:tc>
        <w:tc>
          <w:tcPr/>
          <w:p>
            <w:pPr>
              <w:pStyle w:val="Compact"/>
              <w:jc w:val="left"/>
            </w:pPr>
            <w:r>
              <w:t xml:space="preserve">0.0692</w:t>
            </w:r>
          </w:p>
        </w:tc>
        <w:tc>
          <w:tcPr/>
          <w:p>
            <w:pPr>
              <w:pStyle w:val="Compact"/>
              <w:jc w:val="left"/>
            </w:pPr>
            <w:r>
              <w:t xml:space="preserve">0.9541 ± 0.0355</w:t>
            </w:r>
          </w:p>
        </w:tc>
        <w:tc>
          <w:tcPr/>
          <w:p>
            <w:pPr>
              <w:pStyle w:val="Compact"/>
              <w:jc w:val="left"/>
            </w:pPr>
            <w:r>
              <w:t xml:space="preserve">1.0000 (0/5 seeds)</w:t>
            </w:r>
          </w:p>
        </w:tc>
      </w:tr>
      <w:tr>
        <w:tc>
          <w:tcPr/>
          <w:p>
            <w:pPr>
              <w:pStyle w:val="Compact"/>
              <w:jc w:val="left"/>
            </w:pPr>
            <w:r>
              <w:t xml:space="preserve">Temperature scaling</w:t>
            </w:r>
          </w:p>
        </w:tc>
        <w:tc>
          <w:tcPr/>
          <w:p>
            <w:pPr>
              <w:pStyle w:val="Compact"/>
              <w:jc w:val="left"/>
            </w:pPr>
            <w:r>
              <w:t xml:space="preserve">0.0319</w:t>
            </w:r>
          </w:p>
        </w:tc>
        <w:tc>
          <w:tcPr/>
          <w:p>
            <w:pPr>
              <w:pStyle w:val="Compact"/>
              <w:jc w:val="left"/>
            </w:pPr>
            <w:r>
              <w:t xml:space="preserve">0.0397</w:t>
            </w:r>
          </w:p>
        </w:tc>
        <w:tc>
          <w:tcPr/>
          <w:p>
            <w:pPr>
              <w:pStyle w:val="Compact"/>
              <w:jc w:val="left"/>
            </w:pPr>
            <w:r>
              <w:t xml:space="preserve">0.9541 ± 0.0363</w:t>
            </w:r>
          </w:p>
        </w:tc>
        <w:tc>
          <w:tcPr/>
          <w:p>
            <w:pPr>
              <w:pStyle w:val="Compact"/>
              <w:jc w:val="left"/>
            </w:pPr>
            <w:r>
              <w:t xml:space="preserve">0.0313 (5/5 seeds)</w:t>
            </w:r>
          </w:p>
        </w:tc>
      </w:tr>
      <w:tr>
        <w:tc>
          <w:tcPr/>
          <w:p>
            <w:pPr>
              <w:pStyle w:val="Compact"/>
              <w:jc w:val="left"/>
            </w:pPr>
            <w:r>
              <w:t xml:space="preserve">Deep ensemble (5 members)</w:t>
            </w:r>
          </w:p>
        </w:tc>
        <w:tc>
          <w:tcPr/>
          <w:p>
            <w:pPr>
              <w:pStyle w:val="Compact"/>
              <w:jc w:val="left"/>
            </w:pPr>
            <w:r>
              <w:rPr>
                <w:bCs/>
                <w:b/>
              </w:rPr>
              <w:t xml:space="preserve">0.0123</w:t>
            </w:r>
          </w:p>
        </w:tc>
        <w:tc>
          <w:tcPr/>
          <w:p>
            <w:pPr>
              <w:pStyle w:val="Compact"/>
              <w:jc w:val="left"/>
            </w:pPr>
            <w:r>
              <w:rPr>
                <w:bCs/>
                <w:b/>
              </w:rPr>
              <w:t xml:space="preserve">0.0043</w:t>
            </w:r>
          </w:p>
        </w:tc>
        <w:tc>
          <w:tcPr/>
          <w:p>
            <w:pPr>
              <w:pStyle w:val="Compact"/>
              <w:jc w:val="left"/>
            </w:pPr>
            <w:r>
              <w:t xml:space="preserve">0.9649 ± 0.0208</w:t>
            </w:r>
          </w:p>
        </w:tc>
        <w:tc>
          <w:tcPr/>
          <w:p>
            <w:pPr>
              <w:pStyle w:val="Compact"/>
              <w:jc w:val="left"/>
            </w:pPr>
            <w:r>
              <w:t xml:space="preserve">0.0313 (5/5 seeds)</w:t>
            </w:r>
          </w:p>
        </w:tc>
      </w:tr>
    </w:tbl>
    <w:p>
      <w:pPr>
        <w:pStyle w:val="BodyText"/>
      </w:pPr>
      <w:r>
        <w:rPr>
          <w:bCs/>
          <w:b/>
        </w:rPr>
        <w:t xml:space="preserve">Table 11 — Expected calibration error, five seeds.</w:t>
      </w:r>
      <w:r>
        <w:t xml:space="preserve"> </w:t>
      </w:r>
      <w:r>
        <w:t xml:space="preserve">The quoted</w:t>
      </w:r>
      <w:r>
        <w:t xml:space="preserve"> </w:t>
      </w:r>
      <w:r>
        <w:rPr>
          <w:iCs/>
          <w:i/>
        </w:rPr>
        <w:t xml:space="preserve">p</w:t>
      </w:r>
      <w:r>
        <w:t xml:space="preserve"> </w:t>
      </w:r>
      <w:r>
        <w:t xml:space="preserve">= 0.0313 is the minimum attainable one-sided value at</w:t>
      </w:r>
      <w:r>
        <w:t xml:space="preserve"> </w:t>
      </w:r>
      <w:r>
        <w:rPr>
          <w:iCs/>
          <w:i/>
        </w:rPr>
        <w:t xml:space="preserve">n</w:t>
      </w:r>
      <w:r>
        <w:t xml:space="preserve"> </w:t>
      </w:r>
      <w:r>
        <w:t xml:space="preserve">= 5 and means only</w:t>
      </w:r>
      <w:r>
        <w:t xml:space="preserve"> </w:t>
      </w:r>
      <w:r>
        <w:t xml:space="preserve">“</w:t>
      </w:r>
      <w:r>
        <w:t xml:space="preserve">better on all five seeds</w:t>
      </w:r>
      <w:r>
        <w:t xml:space="preserve">”</w:t>
      </w:r>
      <w:r>
        <w:t xml:space="preserve">; it carries no information about effect size.</w:t>
      </w:r>
    </w:p>
    <w:p>
      <w:pPr>
        <w:pStyle w:val="BodyText"/>
      </w:pPr>
      <w:r>
        <w:t xml:space="preserve">The deep ensemble attains the lowest mean ECE and is the only estimator whose error is stable across seeds. For the other three,</w:t>
      </w:r>
      <w:r>
        <w:t xml:space="preserve"> </w:t>
      </w:r>
      <w:r>
        <w:rPr>
          <w:bCs/>
          <w:b/>
        </w:rPr>
        <w:t xml:space="preserve">the standard deviation exceeds the differences between them</w:t>
      </w:r>
      <w:r>
        <w:t xml:space="preserve"> </w:t>
      </w:r>
      <w:r>
        <w:t xml:space="preserve">— raw softmax 0.0489 ± 0.0699 spans a range that contains both of the others — and no ranking among them is supportable from these data.</w:t>
      </w:r>
    </w:p>
    <w:p>
      <w:pPr>
        <w:pStyle w:val="BodyText"/>
      </w:pPr>
      <w:r>
        <w:t xml:space="preserve">The instability is itself the finding. An ECE varying by roughly a factor of five across initializations of the same architecture on the same fixed partition is not a property of the calibration method; it indicates that single-model confidence on this corpus is initialization-sensitive to a degree that would matter operationally, because a confidence estimate is what an escalation threshold would be set against. Ensembling removes the instability at five times the inference cost — a tradeoff that the edge budget of Section 4.7 makes non-trivial. Debiased and adaptive-binned ECE with bootstrap intervals, class-conditional ECE on the hazardous class, multiclass Brier score, and reliability diagrams are required to characterize this properly and are listed in Appendix A.</w:t>
      </w:r>
    </w:p>
    <w:bookmarkEnd w:id="44"/>
    <w:bookmarkStart w:id="45" w:name="edge-deployment"/>
    <w:p>
      <w:pPr>
        <w:pStyle w:val="Heading3"/>
      </w:pPr>
      <w:r>
        <w:t xml:space="preserve">4.7 Edge deployment</w:t>
      </w:r>
    </w:p>
    <w:p>
      <w:pPr>
        <w:pStyle w:val="FirstParagraph"/>
      </w:pPr>
      <w:r>
        <w:rPr>
          <w:bCs/>
          <w:b/>
        </w:rPr>
        <w:t xml:space="preserve">Table 12</w:t>
      </w:r>
      <w:r>
        <w:t xml:space="preserve"> </w:t>
      </w:r>
      <w:r>
        <w:t xml:space="preserve">reports latency, footprint, and safety behavior across four configurations.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Configuration</w:t>
            </w:r>
          </w:p>
        </w:tc>
        <w:tc>
          <w:tcPr/>
          <w:p>
            <w:pPr>
              <w:pStyle w:val="Compact"/>
              <w:jc w:val="left"/>
            </w:pPr>
            <w:r>
              <w:t xml:space="preserve">Size (MB)</w:t>
            </w:r>
          </w:p>
        </w:tc>
        <w:tc>
          <w:tcPr/>
          <w:p>
            <w:pPr>
              <w:pStyle w:val="Compact"/>
              <w:jc w:val="left"/>
            </w:pPr>
            <w:r>
              <w:t xml:space="preserve">Mean latency (ms)</w:t>
            </w:r>
          </w:p>
        </w:tc>
        <w:tc>
          <w:tcPr/>
          <w:p>
            <w:pPr>
              <w:pStyle w:val="Compact"/>
              <w:jc w:val="left"/>
            </w:pPr>
            <w:r>
              <w:t xml:space="preserve">P99 (ms)</w:t>
            </w:r>
          </w:p>
        </w:tc>
        <w:tc>
          <w:tcPr/>
          <w:p>
            <w:pPr>
              <w:pStyle w:val="Compact"/>
              <w:jc w:val="left"/>
            </w:pPr>
            <w:r>
              <w:t xml:space="preserve">Decision acc. (%)</w:t>
            </w:r>
          </w:p>
        </w:tc>
        <w:tc>
          <w:tcPr/>
          <w:p>
            <w:pPr>
              <w:pStyle w:val="Compact"/>
              <w:jc w:val="left"/>
            </w:pPr>
            <w:r>
              <w:t xml:space="preserve">Missed-hazard</w:t>
            </w:r>
          </w:p>
        </w:tc>
        <w:tc>
          <w:tcPr/>
          <w:p>
            <w:pPr>
              <w:pStyle w:val="Compact"/>
              <w:jc w:val="left"/>
            </w:pPr>
            <w:r>
              <w:t xml:space="preserve">High-severity FA</w:t>
            </w:r>
          </w:p>
        </w:tc>
      </w:tr>
      <w:tr>
        <w:tc>
          <w:tcPr/>
          <w:p>
            <w:pPr>
              <w:pStyle w:val="Compact"/>
              <w:jc w:val="left"/>
            </w:pPr>
            <w:r>
              <w:t xml:space="preserve">Desktop CPU, float32</w:t>
            </w:r>
          </w:p>
        </w:tc>
        <w:tc>
          <w:tcPr/>
          <w:p>
            <w:pPr>
              <w:pStyle w:val="Compact"/>
              <w:jc w:val="left"/>
            </w:pPr>
            <w:r>
              <w:t xml:space="preserve">8.74</w:t>
            </w:r>
          </w:p>
        </w:tc>
        <w:tc>
          <w:tcPr/>
          <w:p>
            <w:pPr>
              <w:pStyle w:val="Compact"/>
              <w:jc w:val="left"/>
            </w:pPr>
            <w:r>
              <w:t xml:space="preserve">5.8</w:t>
            </w:r>
          </w:p>
        </w:tc>
        <w:tc>
          <w:tcPr/>
          <w:p>
            <w:pPr>
              <w:pStyle w:val="Compact"/>
              <w:jc w:val="left"/>
            </w:pPr>
            <w:r>
              <w:t xml:space="preserve">9.6</w:t>
            </w:r>
          </w:p>
        </w:tc>
        <w:tc>
          <w:tcPr/>
          <w:p>
            <w:pPr>
              <w:pStyle w:val="Compact"/>
              <w:jc w:val="left"/>
            </w:pPr>
            <w:r>
              <w:t xml:space="preserve">94.44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float32, synchronous</w:t>
            </w:r>
          </w:p>
        </w:tc>
        <w:tc>
          <w:tcPr/>
          <w:p>
            <w:pPr>
              <w:pStyle w:val="Compact"/>
              <w:jc w:val="left"/>
            </w:pPr>
            <w:r>
              <w:t xml:space="preserve">8.74</w:t>
            </w:r>
          </w:p>
        </w:tc>
        <w:tc>
          <w:tcPr/>
          <w:p>
            <w:pPr>
              <w:pStyle w:val="Compact"/>
              <w:jc w:val="left"/>
            </w:pPr>
            <w:r>
              <w:t xml:space="preserve">14,738</w:t>
            </w:r>
          </w:p>
        </w:tc>
        <w:tc>
          <w:tcPr/>
          <w:p>
            <w:pPr>
              <w:pStyle w:val="Compact"/>
              <w:jc w:val="left"/>
            </w:pPr>
            <w:r>
              <w:t xml:space="preserve">24,202</w:t>
            </w:r>
          </w:p>
        </w:tc>
        <w:tc>
          <w:tcPr/>
          <w:p>
            <w:pPr>
              <w:pStyle w:val="Compact"/>
              <w:jc w:val="left"/>
            </w:pPr>
            <w:r>
              <w:t xml:space="preserve">94.36</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INT8, synchronous</w:t>
            </w:r>
          </w:p>
        </w:tc>
        <w:tc>
          <w:tcPr/>
          <w:p>
            <w:pPr>
              <w:pStyle w:val="Compact"/>
              <w:jc w:val="left"/>
            </w:pPr>
            <w:r>
              <w:t xml:space="preserve">4.19</w:t>
            </w:r>
          </w:p>
        </w:tc>
        <w:tc>
          <w:tcPr/>
          <w:p>
            <w:pPr>
              <w:pStyle w:val="Compact"/>
              <w:jc w:val="left"/>
            </w:pPr>
            <w:r>
              <w:t xml:space="preserve">14,675</w:t>
            </w:r>
          </w:p>
        </w:tc>
        <w:tc>
          <w:tcPr/>
          <w:p>
            <w:pPr>
              <w:pStyle w:val="Compact"/>
              <w:jc w:val="left"/>
            </w:pPr>
            <w:r>
              <w:t xml:space="preserve">24,028</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r>
        <w:tc>
          <w:tcPr/>
          <w:p>
            <w:pPr>
              <w:pStyle w:val="Compact"/>
              <w:jc w:val="left"/>
            </w:pPr>
            <w:r>
              <w:t xml:space="preserve">Pi 4, INT8, asynchronous reasoning</w:t>
            </w:r>
          </w:p>
        </w:tc>
        <w:tc>
          <w:tcPr/>
          <w:p>
            <w:pPr>
              <w:pStyle w:val="Compact"/>
              <w:jc w:val="left"/>
            </w:pPr>
            <w:r>
              <w:t xml:space="preserve">4.19</w:t>
            </w:r>
          </w:p>
        </w:tc>
        <w:tc>
          <w:tcPr/>
          <w:p>
            <w:pPr>
              <w:pStyle w:val="Compact"/>
              <w:jc w:val="left"/>
            </w:pPr>
            <w:r>
              <w:rPr>
                <w:bCs/>
                <w:b/>
              </w:rPr>
              <w:t xml:space="preserve">235</w:t>
            </w:r>
          </w:p>
        </w:tc>
        <w:tc>
          <w:tcPr/>
          <w:p>
            <w:pPr>
              <w:pStyle w:val="Compact"/>
              <w:jc w:val="left"/>
            </w:pPr>
            <w:r>
              <w:t xml:space="preserve">413</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bl>
    <w:p>
      <w:pPr>
        <w:pStyle w:val="BodyText"/>
      </w:pPr>
      <w:r>
        <w:rPr>
          <w:bCs/>
          <w:b/>
        </w:rPr>
        <w:t xml:space="preserve">Table 12 — Edge deployment on a Raspberry Pi 4 against a 2,000 ms sampling budget.</w:t>
      </w:r>
    </w:p>
    <w:p>
      <w:pPr>
        <w:pStyle w:val="BodyText"/>
      </w:pPr>
      <w:r>
        <w:rPr>
          <w:bCs/>
          <w:b/>
        </w:rPr>
        <w:t xml:space="preserve">Explanation must be decoupled from the decision path.</w:t>
      </w:r>
      <w:r>
        <w:t xml:space="preserve"> </w:t>
      </w:r>
      <w:r>
        <w:t xml:space="preserve">Synchronous local explanation produces a mean end-to-end latency of 14,738 ms against a 2,000 ms budget — a factor of seven over, on hardware otherwise entirely adequate for the task, since the decision network itself runs in 1.07 ms. Moving explanation off the critical path and quantizing to INT8 reduces the deployable path to 235 ms mean, 413 ms P99. The architectural conclusion generalizes: in a monitoring context a language model’s role is to explain a decision already taken, never to participate in taking it. The timing budget enforces what the safety argument of Section 3.3 already required.</w:t>
      </w:r>
    </w:p>
    <w:p>
      <w:pPr>
        <w:pStyle w:val="BodyText"/>
      </w:pPr>
      <w:r>
        <w:rPr>
          <w:bCs/>
          <w:b/>
        </w:rPr>
        <w:t xml:space="preserve">Quantization carries a measurable safety cost.</w:t>
      </w:r>
      <w:r>
        <w:t xml:space="preserve"> </w:t>
      </w:r>
      <w:r>
        <w:t xml:space="preserve">INT8 halves the footprint (8.74 → 4.19 MB) and introduces one high-severity false alarm across 316 clean windows (0.0032; 95% CP upper bound 1.49%). Where zero high-severity false alarms is a requirement, the decision network can remain in floating point while the larger perception model is quantized; the decision network is not the source of the footprint.</w:t>
      </w:r>
    </w:p>
    <w:p>
      <w:pPr>
        <w:pStyle w:val="BodyText"/>
      </w:pPr>
      <w:r>
        <w:rPr>
          <w:bCs/>
          <w:b/>
        </w:rPr>
        <w:t xml:space="preserve">From false-alarm rate to alarm burden.</w:t>
      </w:r>
      <w:r>
        <w:t xml:space="preserve"> </w:t>
      </w:r>
      <w:r>
        <w:t xml:space="preserve">A rate is not directly comparable to the envelopes an operator works within, so we convert. At the 0.5 Hz deployment cadence a single detector processes 1,800 windows per hour. The INT8 point estimate of 0.0032 therefore corresponds to approximately</w:t>
      </w:r>
      <w:r>
        <w:t xml:space="preserve"> </w:t>
      </w:r>
      <w:r>
        <w:rPr>
          <w:bCs/>
          <w:b/>
        </w:rPr>
        <w:t xml:space="preserve">5.8 high-severity alarms per hour from one detector</w:t>
      </w:r>
      <w:r>
        <w:t xml:space="preserve"> </w:t>
      </w:r>
      <w:r>
        <w:t xml:space="preserve">under continuous clean-air operation — from a single instrument, this approaches the long-term average alarm rate that EEMUA (2013) treats as the upper limit of manageability for an entire operator position. The float32 configuration observed no false alarm, but its 95% upper bound of 0.944% corresponds to a burden of up to</w:t>
      </w:r>
      <w:r>
        <w:t xml:space="preserve"> </w:t>
      </w:r>
      <w:r>
        <w:rPr>
          <w:bCs/>
          <w:b/>
        </w:rPr>
        <w:t xml:space="preserve">17 alarms per hour</w:t>
      </w:r>
      <w:r>
        <w:t xml:space="preserve">, again per detector. This conversion is, in our view, the single most important reframing available to work of this kind:</w:t>
      </w:r>
      <w:r>
        <w:t xml:space="preserve"> </w:t>
      </w:r>
      <w:r>
        <w:t xml:space="preserve">“</w:t>
      </w:r>
      <w:r>
        <w:t xml:space="preserve">zero false alarms in 316 windows</w:t>
      </w:r>
      <w:r>
        <w:t xml:space="preserve">”</w:t>
      </w:r>
      <w:r>
        <w:t xml:space="preserve"> </w:t>
      </w:r>
      <w:r>
        <w:t xml:space="preserve">sounds like a strong result and, expressed in the units an alarm-management engineer uses, is not yet evidence of an acceptable one. Establishing an acceptable burden requires observation counts one to two orders of magnitude larger than any experiment reported here.</w:t>
      </w:r>
    </w:p>
    <w:p>
      <w:pPr>
        <w:pStyle w:val="BodyText"/>
      </w:pPr>
      <w:r>
        <w:rPr>
          <w:bCs/>
          <w:b/>
        </w:rPr>
        <w:t xml:space="preserve">Sustained thermal behavior narrows the margin.</w:t>
      </w:r>
      <w:r>
        <w:t xml:space="preserve"> </w:t>
      </w:r>
      <w:r>
        <w:t xml:space="preserve">Over a 36-minute passively cooled run the processor reached its 80 °C throttle point after approximately 24 minutes, reducing clock from 1,500 to 1,234 MHz and raising median latency from 420 to 640 ms. The decision path remained inside budget, but the margin was more than halved by an effect no short benchmark would reveal. Deployment qualification for this hardware class should include a sustained thermal run.</w:t>
      </w:r>
    </w:p>
    <w:bookmarkEnd w:id="45"/>
    <w:bookmarkStart w:id="46" w:name="Xbec8aaeed39f2022d1462c45980f9951abe9beb"/>
    <w:p>
      <w:pPr>
        <w:pStyle w:val="Heading3"/>
      </w:pPr>
      <w:r>
        <w:t xml:space="preserve">4.8 Position relative to prior work on this corpus</w:t>
      </w:r>
    </w:p>
    <w:p>
      <w:pPr>
        <w:pStyle w:val="FirstParagraph"/>
      </w:pPr>
      <w:r>
        <w:rPr>
          <w:bCs/>
          <w:b/>
        </w:rPr>
        <w:t xml:space="preserve">Table 13</w:t>
      </w:r>
      <w:r>
        <w:t xml:space="preserve"> </w:t>
      </w:r>
      <w:r>
        <w:t xml:space="preserve">places this work alongside representative published results on MultimodalGasData.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Method</w:t>
            </w:r>
          </w:p>
        </w:tc>
        <w:tc>
          <w:tcPr/>
          <w:p>
            <w:pPr>
              <w:pStyle w:val="Compact"/>
              <w:jc w:val="left"/>
            </w:pPr>
            <w:r>
              <w:t xml:space="preserve">Reported figure</w:t>
            </w:r>
          </w:p>
        </w:tc>
        <w:tc>
          <w:tcPr/>
          <w:p>
            <w:pPr>
              <w:pStyle w:val="Compact"/>
              <w:jc w:val="left"/>
            </w:pPr>
            <w:r>
              <w:t xml:space="preserve">Quantity measured</w:t>
            </w:r>
          </w:p>
        </w:tc>
        <w:tc>
          <w:tcPr/>
          <w:p>
            <w:pPr>
              <w:pStyle w:val="Compact"/>
              <w:jc w:val="left"/>
            </w:pPr>
            <w:r>
              <w:t xml:space="preserve">Split protocol</w:t>
            </w:r>
          </w:p>
        </w:tc>
      </w:tr>
      <w:tr>
        <w:tc>
          <w:tcPr/>
          <w:p>
            <w:pPr>
              <w:pStyle w:val="Compact"/>
              <w:jc w:val="left"/>
            </w:pPr>
            <w:r>
              <w:t xml:space="preserve">Narkhede et al. (2021)</w:t>
            </w:r>
          </w:p>
        </w:tc>
        <w:tc>
          <w:tcPr/>
          <w:p>
            <w:pPr>
              <w:pStyle w:val="Compact"/>
              <w:jc w:val="left"/>
            </w:pPr>
            <w:r>
              <w:t xml:space="preserve">CNN multimodal fusion</w:t>
            </w:r>
          </w:p>
        </w:tc>
        <w:tc>
          <w:tcPr/>
          <w:p>
            <w:pPr>
              <w:pStyle w:val="Compact"/>
              <w:jc w:val="left"/>
            </w:pPr>
            <w:r>
              <w:t xml:space="preserve">97.0%</w:t>
            </w:r>
          </w:p>
        </w:tc>
        <w:tc>
          <w:tcPr/>
          <w:p>
            <w:pPr>
              <w:pStyle w:val="Compact"/>
              <w:jc w:val="left"/>
            </w:pPr>
            <w:r>
              <w:t xml:space="preserve">Gas classification</w:t>
            </w:r>
          </w:p>
        </w:tc>
        <w:tc>
          <w:tcPr/>
          <w:p>
            <w:pPr>
              <w:pStyle w:val="Compact"/>
              <w:jc w:val="left"/>
            </w:pPr>
            <w:r>
              <w:t xml:space="preserve">Randomized</w:t>
            </w:r>
          </w:p>
        </w:tc>
      </w:tr>
      <w:tr>
        <w:tc>
          <w:tcPr/>
          <w:p>
            <w:pPr>
              <w:pStyle w:val="Compact"/>
              <w:jc w:val="left"/>
            </w:pPr>
            <w:r>
              <w:t xml:space="preserve">Faleh and Kachouri (2023)</w:t>
            </w:r>
          </w:p>
        </w:tc>
        <w:tc>
          <w:tcPr/>
          <w:p>
            <w:pPr>
              <w:pStyle w:val="Compact"/>
              <w:jc w:val="left"/>
            </w:pPr>
            <w:r>
              <w:t xml:space="preserve">Hybrid CNN–LDA</w:t>
            </w:r>
          </w:p>
        </w:tc>
        <w:tc>
          <w:tcPr/>
          <w:p>
            <w:pPr>
              <w:pStyle w:val="Compact"/>
              <w:jc w:val="left"/>
            </w:pPr>
            <w:r>
              <w:t xml:space="preserve">93.0%</w:t>
            </w:r>
          </w:p>
        </w:tc>
        <w:tc>
          <w:tcPr/>
          <w:p>
            <w:pPr>
              <w:pStyle w:val="Compact"/>
              <w:jc w:val="left"/>
            </w:pPr>
            <w:r>
              <w:t xml:space="preserve">Gas classification</w:t>
            </w:r>
          </w:p>
        </w:tc>
        <w:tc>
          <w:tcPr/>
          <w:p>
            <w:pPr>
              <w:pStyle w:val="Compact"/>
              <w:jc w:val="left"/>
            </w:pPr>
            <w:r>
              <w:t xml:space="preserve">Randomized</w:t>
            </w:r>
          </w:p>
        </w:tc>
      </w:tr>
      <w:tr>
        <w:tc>
          <w:tcPr/>
          <w:p>
            <w:pPr>
              <w:pStyle w:val="Compact"/>
              <w:jc w:val="left"/>
            </w:pPr>
            <w:r>
              <w:t xml:space="preserve">El Barkani et al. (2024)</w:t>
            </w:r>
          </w:p>
        </w:tc>
        <w:tc>
          <w:tcPr/>
          <w:p>
            <w:pPr>
              <w:pStyle w:val="Compact"/>
              <w:jc w:val="left"/>
            </w:pPr>
            <w:r>
              <w:t xml:space="preserve">TinyML CNN</w:t>
            </w:r>
          </w:p>
        </w:tc>
        <w:tc>
          <w:tcPr/>
          <w:p>
            <w:pPr>
              <w:pStyle w:val="Compact"/>
              <w:jc w:val="left"/>
            </w:pPr>
            <w:r>
              <w:t xml:space="preserve">91.7%</w:t>
            </w:r>
          </w:p>
        </w:tc>
        <w:tc>
          <w:tcPr/>
          <w:p>
            <w:pPr>
              <w:pStyle w:val="Compact"/>
              <w:jc w:val="left"/>
            </w:pPr>
            <w:r>
              <w:t xml:space="preserve">Gas classification</w:t>
            </w:r>
          </w:p>
        </w:tc>
        <w:tc>
          <w:tcPr/>
          <w:p>
            <w:pPr>
              <w:pStyle w:val="Compact"/>
              <w:jc w:val="left"/>
            </w:pPr>
            <w:r>
              <w:t xml:space="preserve">Randomized</w:t>
            </w:r>
          </w:p>
        </w:tc>
      </w:tr>
      <w:tr>
        <w:tc>
          <w:tcPr/>
          <w:p>
            <w:pPr>
              <w:pStyle w:val="Compact"/>
              <w:jc w:val="left"/>
            </w:pPr>
            <w:r>
              <w:t xml:space="preserve">Sharma et al. (2024)</w:t>
            </w:r>
          </w:p>
        </w:tc>
        <w:tc>
          <w:tcPr/>
          <w:p>
            <w:pPr>
              <w:pStyle w:val="Compact"/>
              <w:jc w:val="left"/>
            </w:pPr>
            <w:r>
              <w:t xml:space="preserve">Federated deep CNN ensemble</w:t>
            </w:r>
          </w:p>
        </w:tc>
        <w:tc>
          <w:tcPr/>
          <w:p>
            <w:pPr>
              <w:pStyle w:val="Compact"/>
              <w:jc w:val="left"/>
            </w:pPr>
            <w:r>
              <w:t xml:space="preserve">99.7%</w:t>
            </w:r>
          </w:p>
        </w:tc>
        <w:tc>
          <w:tcPr/>
          <w:p>
            <w:pPr>
              <w:pStyle w:val="Compact"/>
              <w:jc w:val="left"/>
            </w:pPr>
            <w:r>
              <w:t xml:space="preserve">Gas classification</w:t>
            </w:r>
          </w:p>
        </w:tc>
        <w:tc>
          <w:tcPr/>
          <w:p>
            <w:pPr>
              <w:pStyle w:val="Compact"/>
              <w:jc w:val="left"/>
            </w:pPr>
            <w:r>
              <w:t xml:space="preserve">Randomized</w:t>
            </w:r>
          </w:p>
        </w:tc>
      </w:tr>
      <w:tr>
        <w:tc>
          <w:tcPr/>
          <w:p>
            <w:pPr>
              <w:pStyle w:val="Compact"/>
              <w:jc w:val="left"/>
            </w:pPr>
            <w:r>
              <w:t xml:space="preserve">Zhang and Zhang (2025)</w:t>
            </w:r>
          </w:p>
        </w:tc>
        <w:tc>
          <w:tcPr/>
          <w:p>
            <w:pPr>
              <w:pStyle w:val="Compact"/>
              <w:jc w:val="left"/>
            </w:pPr>
            <w:r>
              <w:t xml:space="preserve">Deep feature selection + deep forest</w:t>
            </w:r>
          </w:p>
        </w:tc>
        <w:tc>
          <w:tcPr/>
          <w:p>
            <w:pPr>
              <w:pStyle w:val="Compact"/>
              <w:jc w:val="left"/>
            </w:pPr>
            <w:r>
              <w:t xml:space="preserve">99.7%</w:t>
            </w:r>
          </w:p>
        </w:tc>
        <w:tc>
          <w:tcPr/>
          <w:p>
            <w:pPr>
              <w:pStyle w:val="Compact"/>
              <w:jc w:val="left"/>
            </w:pPr>
            <w:r>
              <w:t xml:space="preserve">Gas classification</w:t>
            </w:r>
          </w:p>
        </w:tc>
        <w:tc>
          <w:tcPr/>
          <w:p>
            <w:pPr>
              <w:pStyle w:val="Compact"/>
              <w:jc w:val="left"/>
            </w:pPr>
            <w:r>
              <w:t xml:space="preserve">Randomized</w:t>
            </w:r>
          </w:p>
        </w:tc>
      </w:tr>
      <w:tr>
        <w:tc>
          <w:tcPr/>
          <w:p>
            <w:pPr>
              <w:pStyle w:val="Compact"/>
              <w:jc w:val="left"/>
            </w:pPr>
            <w:r>
              <w:t xml:space="preserve">This work</w:t>
            </w:r>
          </w:p>
        </w:tc>
        <w:tc>
          <w:tcPr/>
          <w:p>
            <w:pPr>
              <w:pStyle w:val="Compact"/>
              <w:jc w:val="left"/>
            </w:pPr>
            <w:r>
              <w:t xml:space="preserve">Cost-weighted action assignment</w:t>
            </w:r>
          </w:p>
        </w:tc>
        <w:tc>
          <w:tcPr/>
          <w:p>
            <w:pPr>
              <w:pStyle w:val="Compact"/>
              <w:jc w:val="left"/>
            </w:pPr>
            <w:r>
              <w:t xml:space="preserve">94.44%</w:t>
            </w:r>
          </w:p>
        </w:tc>
        <w:tc>
          <w:tcPr/>
          <w:p>
            <w:pPr>
              <w:pStyle w:val="Compact"/>
              <w:jc w:val="left"/>
            </w:pPr>
            <w:r>
              <w:rPr>
                <w:bCs/>
                <w:b/>
              </w:rPr>
              <w:t xml:space="preserve">Decision accuracy</w:t>
            </w:r>
          </w:p>
        </w:tc>
        <w:tc>
          <w:tcPr/>
          <w:p>
            <w:pPr>
              <w:pStyle w:val="Compact"/>
              <w:jc w:val="left"/>
            </w:pPr>
            <w:r>
              <w:rPr>
                <w:bCs/>
                <w:b/>
              </w:rPr>
              <w:t xml:space="preserve">Block-wise, embargoed</w:t>
            </w:r>
          </w:p>
        </w:tc>
      </w:tr>
      <w:tr>
        <w:tc>
          <w:tcPr/>
          <w:p>
            <w:pPr>
              <w:pStyle w:val="Compact"/>
              <w:jc w:val="left"/>
            </w:pPr>
            <w:r>
              <w:t xml:space="preserve">This work</w:t>
            </w:r>
          </w:p>
        </w:tc>
        <w:tc>
          <w:tcPr/>
          <w:p>
            <w:pPr>
              <w:pStyle w:val="Compact"/>
              <w:jc w:val="left"/>
            </w:pPr>
            <w:r>
              <w:t xml:space="preserve">YOLOv8n-cls thermal</w:t>
            </w:r>
          </w:p>
        </w:tc>
        <w:tc>
          <w:tcPr/>
          <w:p>
            <w:pPr>
              <w:pStyle w:val="Compact"/>
              <w:jc w:val="left"/>
            </w:pPr>
            <w:r>
              <w:t xml:space="preserve">98.8%</w:t>
            </w:r>
          </w:p>
        </w:tc>
        <w:tc>
          <w:tcPr/>
          <w:p>
            <w:pPr>
              <w:pStyle w:val="Compact"/>
              <w:jc w:val="left"/>
            </w:pPr>
            <w:r>
              <w:t xml:space="preserve">Gas classification</w:t>
            </w:r>
          </w:p>
        </w:tc>
        <w:tc>
          <w:tcPr/>
          <w:p>
            <w:pPr>
              <w:pStyle w:val="Compact"/>
              <w:jc w:val="left"/>
            </w:pPr>
            <w:r>
              <w:t xml:space="preserve">Randomized (see §3.3)</w:t>
            </w:r>
          </w:p>
        </w:tc>
      </w:tr>
    </w:tbl>
    <w:p>
      <w:pPr>
        <w:pStyle w:val="BodyText"/>
      </w:pPr>
      <w:r>
        <w:rPr>
          <w:bCs/>
          <w:b/>
        </w:rPr>
        <w:t xml:space="preserve">Table 13 — Comparison with prior work on the MultimodalGasData corpus.</w:t>
      </w:r>
      <w:r>
        <w:t xml:space="preserve"> </w:t>
      </w:r>
      <w:r>
        <w:t xml:space="preserve">Figures in different rows measure different quantities under different protocols and are not directly comparable.</w:t>
      </w:r>
    </w:p>
    <w:p>
      <w:pPr>
        <w:pStyle w:val="BodyText"/>
      </w:pPr>
      <w:r>
        <w:t xml:space="preserve">We state plainly that our decision accuracy sits below most published figures on this corpus, because the comparison is not like-for-like in either direction and both directions matter.</w:t>
      </w:r>
    </w:p>
    <w:p>
      <w:pPr>
        <w:pStyle w:val="BodyText"/>
      </w:pPr>
      <w:r>
        <w:rPr>
          <w:iCs/>
          <w:i/>
        </w:rPr>
        <w:t xml:space="preserve">Against us:</w:t>
      </w:r>
      <w:r>
        <w:t xml:space="preserve"> </w:t>
      </w:r>
      <w:r>
        <w:t xml:space="preserve">our evaluation uses a block-wise holdout with an explicit embargo, whereas the published comparisons are, to our knowledge, computed on randomized splits over overlapping windows drawn from a single recording session. Dennler et al. (2022) showed that this protocol conflates recording time with class identity on a comparably structured MOX corpus. The figures are therefore not directly comparable, and the direction of the bias is known.</w:t>
      </w:r>
    </w:p>
    <w:p>
      <w:pPr>
        <w:pStyle w:val="BodyText"/>
      </w:pPr>
      <w:r>
        <w:rPr>
          <w:iCs/>
          <w:i/>
        </w:rPr>
        <w:t xml:space="preserve">In our favor:</w:t>
      </w:r>
      <w:r>
        <w:t xml:space="preserve"> </w:t>
      </w:r>
      <w:r>
        <w:t xml:space="preserve">the quantities differ. A classification error and an action error carry different operational consequence — confusing two hazardous classes preserves the need to escalate, whereas assigning a hazardous window to</w:t>
      </w:r>
      <w:r>
        <w:t xml:space="preserve"> </w:t>
      </w:r>
      <w:r>
        <w:rPr>
          <w:iCs/>
          <w:i/>
        </w:rPr>
        <w:t xml:space="preserve">Monitor</w:t>
      </w:r>
      <w:r>
        <w:t xml:space="preserve"> </w:t>
      </w:r>
      <w:r>
        <w:t xml:space="preserve">forfeits the intervention window entirely. For a like-for-like recognition comparison the relevant figure is our thermal classifier’s 98.8%, subject to the split caveat of Section 3.3.</w:t>
      </w:r>
    </w:p>
    <w:p>
      <w:pPr>
        <w:pStyle w:val="BodyText"/>
      </w:pPr>
      <w:r>
        <w:t xml:space="preserve">Neither adjustment changes our position: we do not claim an accuracy advantage, and the paper’s contribution does not rest on one.</w:t>
      </w:r>
    </w:p>
    <w:p>
      <w:r>
        <w:pict>
          <v:rect style="width:0;height:1.5pt" o:hralign="center" o:hrstd="t" o:hr="t"/>
        </w:pict>
      </w:r>
    </w:p>
    <w:bookmarkEnd w:id="46"/>
    <w:bookmarkEnd w:id="47"/>
    <w:bookmarkStart w:id="53" w:name="discussion"/>
    <w:p>
      <w:pPr>
        <w:pStyle w:val="Heading2"/>
      </w:pPr>
      <w:r>
        <w:t xml:space="preserve">5. Discussion</w:t>
      </w:r>
    </w:p>
    <w:bookmarkStart w:id="48" w:name="accuracy-ranking-is-not-a-safety-ranking"/>
    <w:p>
      <w:pPr>
        <w:pStyle w:val="Heading3"/>
      </w:pPr>
      <w:r>
        <w:t xml:space="preserve">5.1 Accuracy ranking is not a safety ranking</w:t>
      </w:r>
    </w:p>
    <w:p>
      <w:pPr>
        <w:pStyle w:val="FirstParagraph"/>
      </w:pPr>
      <w:r>
        <w:t xml:space="preserve">The central empirical result of this study is a dissociation. Under a leakage-controlled protocol, eight model families spanning tree ensembles, kernel methods, feedforward and recurrent networks, and offline reinforcement learning are indistinguishable on in-distribution accuracy: 3.3 points separate best from worst, and the design cannot resolve differences of that size. Under distribution shift the same models separate by two orders of magnitude in missed-hazard rate, and by a further factor of 3.4 in escalation adequacy. Neither separation is anticipated by the accuracy table, and the orderings are not preserved: the model with the best out-of-distribution miss rate on one withheld hazard is among the worst on escalation for another, and the highest in-distribution accuracy belongs to a random forest that appears nowhere in the safety argument.</w:t>
      </w:r>
    </w:p>
    <w:p>
      <w:pPr>
        <w:pStyle w:val="BodyText"/>
      </w:pPr>
      <w:r>
        <w:t xml:space="preserve">The consequence for practice is direct. A team selecting a gas-monitoring model on benchmark accuracy — which is what the published literature on this corpus supports them in doing — obtains no information about how the selected model will behave on a release it was not trained on. That is the condition under which the model will eventually be asked to perform, and it is the condition under which the difference between models is largest.</w:t>
      </w:r>
    </w:p>
    <w:p>
      <w:pPr>
        <w:pStyle w:val="BodyText"/>
      </w:pPr>
      <w:r>
        <w:t xml:space="preserve">We would put the point more strongly. On a saturated benchmark, accuracy differences among leading methods are within the noise of the evaluation itself, so continued optimization against that metric is not merely uninformative about safety — it consumes effort that produces no decision-relevant information at all.</w:t>
      </w:r>
    </w:p>
    <w:bookmarkEnd w:id="48"/>
    <w:bookmarkStart w:id="49" w:name="Xe4399cbc134cdb694a9ffb5236d2ae04d706ad3"/>
    <w:p>
      <w:pPr>
        <w:pStyle w:val="Heading3"/>
      </w:pPr>
      <w:r>
        <w:t xml:space="preserve">5.2 Missed-hazard rate is necessary and not sufficient</w:t>
      </w:r>
    </w:p>
    <w:p>
      <w:pPr>
        <w:pStyle w:val="FirstParagraph"/>
      </w:pPr>
      <w:r>
        <w:t xml:space="preserve">The second result is a caution about the obvious remedy. Having established that accuracy is the wrong metric, the natural substitute is missed-hazard rate. Our leave-one-class-out results show this to be insufficient in a specific and consequential way.</w:t>
      </w:r>
    </w:p>
    <w:p>
      <w:pPr>
        <w:pStyle w:val="BodyText"/>
      </w:pPr>
      <w:r>
        <w:t xml:space="preserve">A missed-hazard metric that counts only the fully passive response scores a hazardous window answered with</w:t>
      </w:r>
      <w:r>
        <w:t xml:space="preserve"> </w:t>
      </w:r>
      <w:r>
        <w:rPr>
          <w:iCs/>
          <w:i/>
        </w:rPr>
        <w:t xml:space="preserve">Request Verification</w:t>
      </w:r>
      <w:r>
        <w:t xml:space="preserve"> </w:t>
      </w:r>
      <w:r>
        <w:t xml:space="preserve">as a success. On withheld Mixture, three of four models satisfy the miss metric almost perfectly — bounded below 0.83% at 95% confidence — while escalating only about a quarter to a third of hazardous windows to alarm-grade action. An operator running such a system would receive no notification for roughly seven in ten windows of the most hazardous class in the corpus, and the safety metric would report success. Meanwhile a plain gradient booster, carrying none of the pipeline’s safety machinery, escalates all of them.</w:t>
      </w:r>
    </w:p>
    <w:p>
      <w:pPr>
        <w:pStyle w:val="BodyText"/>
      </w:pPr>
      <w:r>
        <w:t xml:space="preserve">This is the paper’s most transferable finding, and it is not specific to gas monitoring. Wherever a graded response hierarchy is learned, a metric defined on the most extreme failure will be satisfied by systematic under-response one rung above it. The remedy is to define the metric on the operationally meaningful threshold — here, whether an operator is notified — rather than on the worst conceivable outcome.</w:t>
      </w:r>
    </w:p>
    <w:p>
      <w:pPr>
        <w:pStyle w:val="BodyText"/>
      </w:pPr>
      <w:r>
        <w:t xml:space="preserve">We therefore propose that safety-relevant evaluation of monitoring models report, at minimum: missed-hazard rate with a confidence bound; escalation adequacy against the class-conditional target severity; high-severity false-alarm rate expressed as alarm burden per operator per unit time; degradation of all three under graded sensor loss and calibration drift; and the sample size supporting each zero count. Each is inexpensive to compute, and each changed a conclusion in this study.</w:t>
      </w:r>
    </w:p>
    <w:bookmarkEnd w:id="49"/>
    <w:bookmarkStart w:id="50" w:name="X6533d19d7d1a3f69c8432839b0ef43e61fae83e"/>
    <w:p>
      <w:pPr>
        <w:pStyle w:val="Heading3"/>
      </w:pPr>
      <w:r>
        <w:t xml:space="preserve">5.3 What the cost asymmetry did and did not do</w:t>
      </w:r>
    </w:p>
    <w:p>
      <w:pPr>
        <w:pStyle w:val="FirstParagraph"/>
      </w:pPr>
      <w:r>
        <w:t xml:space="preserve">Our cost-ratio sweep returns no measurable effect on missed-hazard rate at any ratio from 1:1 to 20:1, together with an accuracy penalty above 6:1. We take this seriously rather than setting it aside, because the asymmetric objective was the mechanism by which the pipeline was expected to be safe.</w:t>
      </w:r>
    </w:p>
    <w:p>
      <w:pPr>
        <w:pStyle w:val="BodyText"/>
      </w:pPr>
      <w:r>
        <w:t xml:space="preserve">The explanation is structural. Because the target action is a deterministic function of a well-separated class label, and because a miss requires assigning a hazardous window to the class most distant from it in feature space, the miss rate sits at the floor before any weighting is applied. There is nothing for the asymmetry to reshape. The general implication is worth stating because it applies well beyond this corpus:</w:t>
      </w:r>
      <w:r>
        <w:t xml:space="preserve"> </w:t>
      </w:r>
      <w:r>
        <w:rPr>
          <w:bCs/>
          <w:b/>
        </w:rPr>
        <w:t xml:space="preserve">on a saturated, well-separated benchmark a safety objective cannot be validated, because the unsafe behavior it exists to suppress does not occur.</w:t>
      </w:r>
      <w:r>
        <w:t xml:space="preserve"> </w:t>
      </w:r>
      <w:r>
        <w:t xml:space="preserve">Demonstrating that a cost asymmetry works requires either a corpus with genuine overlap between hazardous and benign states, or a metric under which sub-alarm responses carry cost. Section 4.3 supplies the second, and under it the cost-weighted policy does not lead.</w:t>
      </w:r>
    </w:p>
    <w:p>
      <w:pPr>
        <w:pStyle w:val="BodyText"/>
      </w:pPr>
      <w:r>
        <w:t xml:space="preserve">A reader may reasonably ask what, then, the learned policy contributes. On this evidence: nothing in nominal conditions that a two-line lookup table does not contribute better, since the label function attains the ceiling by construction. Its only demonstrated advantage is under calibration drift, where it preserved zero misses while the more accurate supervised baseline did not (Section 4.5). That is a narrow claim, it rests on a single perturbation condition without escalation data, and we present it as such.</w:t>
      </w:r>
    </w:p>
    <w:bookmarkEnd w:id="50"/>
    <w:bookmarkStart w:id="51" w:name="implications-for-deployment"/>
    <w:p>
      <w:pPr>
        <w:pStyle w:val="Heading3"/>
      </w:pPr>
      <w:r>
        <w:t xml:space="preserve">5.4 Implications for deployment</w:t>
      </w:r>
    </w:p>
    <w:p>
      <w:pPr>
        <w:pStyle w:val="FirstParagraph"/>
      </w:pPr>
      <w:r>
        <w:t xml:space="preserve">Three deployment conclusions hold across configurations and are, we believe, the portable engineering content of this study.</w:t>
      </w:r>
    </w:p>
    <w:p>
      <w:pPr>
        <w:pStyle w:val="BodyText"/>
      </w:pPr>
      <w:r>
        <w:rPr>
          <w:bCs/>
          <w:b/>
        </w:rPr>
        <w:t xml:space="preserve">Language models belong outside the decision path.</w:t>
      </w:r>
      <w:r>
        <w:t xml:space="preserve"> </w:t>
      </w:r>
      <w:r>
        <w:t xml:space="preserve">The safety argument and the latency arithmetic converge on the same architecture: a 14.7 s synchronous path against a 2 s budget is not a tuning problem, and a model that could alter an action it cannot be verified to justify would be a hazard even if it were fast. Explanation generated asynchronously from a decision already taken is the only configuration that satisfies both constraints.</w:t>
      </w:r>
    </w:p>
    <w:p>
      <w:pPr>
        <w:pStyle w:val="BodyText"/>
      </w:pPr>
      <w:r>
        <w:rPr>
          <w:bCs/>
          <w:b/>
        </w:rPr>
        <w:t xml:space="preserve">Quantization decisions are safety decisions.</w:t>
      </w:r>
      <w:r>
        <w:t xml:space="preserve"> </w:t>
      </w:r>
      <w:r>
        <w:t xml:space="preserve">INT8 halved the footprint and introduced a false alarm; whether that is acceptable is a facility judgment about alarm burden, not a modeling judgment about accuracy. Selective quantization — perception quantized, decision in floating point — resolves it at negligible footprint cost.</w:t>
      </w:r>
    </w:p>
    <w:p>
      <w:pPr>
        <w:pStyle w:val="BodyText"/>
      </w:pPr>
      <w:r>
        <w:rPr>
          <w:bCs/>
          <w:b/>
        </w:rPr>
        <w:t xml:space="preserve">Qualification must be sustained.</w:t>
      </w:r>
      <w:r>
        <w:t xml:space="preserve"> </w:t>
      </w:r>
      <w:r>
        <w:t xml:space="preserve">A 36-minute run halved the latency margin through thermal throttling alone. Deployment testing that does not run to thermal equilibrium will overstate the margin available.</w:t>
      </w:r>
    </w:p>
    <w:bookmarkEnd w:id="51"/>
    <w:bookmarkStart w:id="52" w:name="what-this-study-does-not-establish"/>
    <w:p>
      <w:pPr>
        <w:pStyle w:val="Heading3"/>
      </w:pPr>
      <w:r>
        <w:t xml:space="preserve">5.5 What this study does not establish</w:t>
      </w:r>
    </w:p>
    <w:p>
      <w:pPr>
        <w:pStyle w:val="FirstParagraph"/>
      </w:pPr>
      <w:r>
        <w:t xml:space="preserve">We are explicit about the boundary of the claims. This study does not establish that the pipeline detects hydrocarbons; the corpus contains none. It does not establish that any model here is fit for service; the largest observation count supporting any zero-count safety claim is 1,581 windows, which bounds a miss rate at 0.19% and no lower. It does not establish that the coordination and explanation components improve safety outcomes; they are apparatus, they are not experimentally isolated, and no result reported here depends on them. And it does not rank the eight models, because the design cannot.</w:t>
      </w:r>
    </w:p>
    <w:p>
      <w:pPr>
        <w:pStyle w:val="BodyText"/>
      </w:pPr>
      <w:r>
        <w:t xml:space="preserve">What it does establish is that the evaluation conventions of this literature are not fit for the purpose the literature claims, and that a metric set costing a few additional columns per experiment reverses model selection decisions on the authors’ own data.</w:t>
      </w:r>
    </w:p>
    <w:p>
      <w:r>
        <w:pict>
          <v:rect style="width:0;height:1.5pt" o:hralign="center" o:hrstd="t" o:hr="t"/>
        </w:pict>
      </w:r>
    </w:p>
    <w:bookmarkEnd w:id="52"/>
    <w:bookmarkEnd w:id="53"/>
    <w:bookmarkStart w:id="54"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The corpus contains incense smoke, alcohol-based vapor, and their mixture. These are surrogates. No result here establishes detection performance for methane or heavier hydrocarbons, and external validity to petroleum facility monitoring is argued from the shared MOX transduction mechanism rather than demonstrated.</w:t>
      </w:r>
    </w:p>
    <w:p>
      <w:pPr>
        <w:pStyle w:val="BodyText"/>
      </w:pPr>
      <w:r>
        <w:rPr>
          <w:bCs/>
          <w:b/>
        </w:rPr>
        <w:t xml:space="preserve">Single-session, single-device provenance.</w:t>
      </w:r>
      <w:r>
        <w:t xml:space="preserve"> </w:t>
      </w:r>
      <w:r>
        <w:t xml:space="preserve">All 6,400 samples derive from one acquisition session on one device. Sensor ageing, inter-device variability, seasonal ambient variation, wind, hydraulic transients, leak-rate diversity, and long-term drift are unrepresented. Cross-session and cross-device validation is the single most important outstanding experiment.</w:t>
      </w:r>
    </w:p>
    <w:p>
      <w:pPr>
        <w:pStyle w:val="BodyText"/>
      </w:pPr>
      <w:r>
        <w:rPr>
          <w:bCs/>
          <w:b/>
        </w:rPr>
        <w:t xml:space="preserve">Fixed partition.</w:t>
      </w:r>
      <w:r>
        <w:t xml:space="preserve"> </w:t>
      </w:r>
      <w:r>
        <w:t xml:space="preserve">The block-wise split is generated once and is not reseeded. All reported dispersion captures initialization variance only and excludes partition variance.</w:t>
      </w:r>
    </w:p>
    <w:p>
      <w:pPr>
        <w:pStyle w:val="BodyText"/>
      </w:pPr>
      <w:r>
        <w:rPr>
          <w:bCs/>
          <w:b/>
        </w:rPr>
        <w:t xml:space="preserve">Statistical power.</w:t>
      </w:r>
      <w:r>
        <w:t xml:space="preserve"> </w:t>
      </w:r>
      <w:r>
        <w:t xml:space="preserve">Five paired seeds cannot resolve differences at α = 0.05 under a Wilcoxon signed-rank test, whose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No ranking among the eight models is asserted and none should be inferred.</w:t>
      </w:r>
    </w:p>
    <w:p>
      <w:pPr>
        <w:pStyle w:val="BodyText"/>
      </w:pPr>
      <w:r>
        <w:rPr>
          <w:bCs/>
          <w:b/>
        </w:rPr>
        <w:t xml:space="preserve">Metric scope.</w:t>
      </w:r>
      <w:r>
        <w:t xml:space="preserve"> </w:t>
      </w:r>
      <w:r>
        <w:t xml:space="preserve">Missed-hazard rate counts only the fully passive action. Section 4.3 demonstrates that this understates under-response, which is why escalation adequacy is reported alongside it; a graded expected-cost formulation over a full cost matrix would be preferable and is not attempted here.</w:t>
      </w:r>
    </w:p>
    <w:p>
      <w:pPr>
        <w:pStyle w:val="BodyText"/>
      </w:pPr>
      <w:r>
        <w:rPr>
          <w:bCs/>
          <w:b/>
        </w:rPr>
        <w:t xml:space="preserve">Perturbation scope.</w:t>
      </w:r>
      <w:r>
        <w:t xml:space="preserve"> </w:t>
      </w:r>
      <w:r>
        <w:t xml:space="preserve">Escalation adequacy and false-alarm rate are not available under perturbation in the present run set, so graceful degradation cannot be distinguished from indiscriminate escalation in Table 10. Perturbation intensities are unmotivated rather than graded, and no breakdown point is established.</w:t>
      </w:r>
    </w:p>
    <w:p>
      <w:pPr>
        <w:pStyle w:val="BodyText"/>
      </w:pPr>
      <w:r>
        <w:rPr>
          <w:bCs/>
          <w:b/>
        </w:rPr>
        <w:t xml:space="preserve">Anomaly-score evaluation.</w:t>
      </w:r>
      <w:r>
        <w:t xml:space="preserve"> </w:t>
      </w:r>
      <w:r>
        <w:t xml:space="preserve">The reported ROC-AUC and operating point are not cleanly out-of-sample (Section 4.1), and no evidence is presented that the anomaly score ranks hazard monotonically.</w:t>
      </w:r>
    </w:p>
    <w:p>
      <w:pPr>
        <w:pStyle w:val="BodyText"/>
      </w:pPr>
      <w:r>
        <w:rPr>
          <w:bCs/>
          <w:b/>
        </w:rPr>
        <w:t xml:space="preserve">Perception split.</w:t>
      </w:r>
      <w:r>
        <w:t xml:space="preserve"> </w:t>
      </w:r>
      <w:r>
        <w:t xml:space="preserve">The thermal image split is randomized over consecutive frames from a single session and is subject to the leakage mechanism the sensor-side protocol excludes. The 98.8% figure is an optimistic upper bound.</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but not the action.</w:t>
      </w:r>
    </w:p>
    <w:p>
      <w:pPr>
        <w:pStyle w:val="BodyText"/>
      </w:pPr>
      <w:r>
        <w:rPr>
          <w:bCs/>
          <w:b/>
        </w:rPr>
        <w:t xml:space="preserve">Coordination layer.</w:t>
      </w:r>
      <w:r>
        <w:t xml:space="preserve"> </w:t>
      </w:r>
      <w:r>
        <w:t xml:space="preserve">The components that coordinate, critique, and supervise the pipeline are described as apparatus and are not experimentally isolated. No claim in this paper depends on them, and none should be read as validating them.</w:t>
      </w:r>
    </w:p>
    <w:p>
      <w:pPr>
        <w:pStyle w:val="BodyText"/>
      </w:pPr>
      <w:r>
        <w:rPr>
          <w:bCs/>
          <w:b/>
        </w:rPr>
        <w:t xml:space="preserve">Configuration selection.</w:t>
      </w:r>
      <w:r>
        <w:t xml:space="preserve"> </w:t>
      </w:r>
      <w:r>
        <w:t xml:space="preserve">The deployed cost ratio (8:1) was chosen on test-partition dispersion rather than on a held-out validation split, and is not the accuracy optimum.</w:t>
      </w:r>
    </w:p>
    <w:p>
      <w:pPr>
        <w:pStyle w:val="BodyText"/>
      </w:pPr>
      <w:r>
        <w:rPr>
          <w:bCs/>
          <w:b/>
        </w:rPr>
        <w:t xml:space="preserve">Deployment scope.</w:t>
      </w:r>
      <w:r>
        <w:t xml:space="preserve"> </w:t>
      </w:r>
      <w:r>
        <w:t xml:space="preserve">The edge study replays the test partition from local storage. It does not evaluate live sensor acquisition, long-duration field operation, integration with plant alarm-management systems, or operator response to the generated explanations.</w:t>
      </w:r>
    </w:p>
    <w:p>
      <w:r>
        <w:pict>
          <v:rect style="width:0;height:1.5pt" o:hralign="center" o:hrstd="t" o:hr="t"/>
        </w:pict>
      </w:r>
    </w:p>
    <w:bookmarkEnd w:id="54"/>
    <w:bookmarkStart w:id="55" w:name="conclusions"/>
    <w:p>
      <w:pPr>
        <w:pStyle w:val="Heading2"/>
      </w:pPr>
      <w:r>
        <w:t xml:space="preserve">7. Conclusions</w:t>
      </w:r>
    </w:p>
    <w:p>
      <w:pPr>
        <w:pStyle w:val="FirstParagraph"/>
      </w:pPr>
      <w:r>
        <w:t xml:space="preserve">We evaluated an edge-deployable gas-monitoring pipeline under a safety-relevant metric set rather than accuracy alone, using a leakage-controlled block-wise holdout on a public MOX benchmark whose analytes are laboratory surrogates.</w:t>
      </w:r>
    </w:p>
    <w:p>
      <w:pPr>
        <w:numPr>
          <w:ilvl w:val="0"/>
          <w:numId w:val="1005"/>
        </w:numPr>
      </w:pPr>
      <w:r>
        <w:rPr>
          <w:bCs/>
          <w:b/>
        </w:rPr>
        <w:t xml:space="preserve">Accuracy ranking carries no information about safety behavior.</w:t>
      </w:r>
      <w:r>
        <w:t xml:space="preserve"> </w:t>
      </w:r>
      <w:r>
        <w:t xml:space="preserve">Eight model families span 3.3 accuracy points on the block-wise holdout — a range this design cannot resolve — yet separate by two orders of magnitude in missed-hazard rate on an unseen hazardous class (18.7%, 95% CP bound 20.41%, against a 0.19% bound). Model selection on benchmark accuracy is uninformative for this application.</w:t>
      </w:r>
    </w:p>
    <w:p>
      <w:pPr>
        <w:numPr>
          <w:ilvl w:val="0"/>
          <w:numId w:val="1005"/>
        </w:numPr>
      </w:pPr>
      <w:r>
        <w:rPr>
          <w:bCs/>
          <w:b/>
        </w:rPr>
        <w:t xml:space="preserve">Missed-hazard rate is necessary but not sufficient.</w:t>
      </w:r>
      <w:r>
        <w:t xml:space="preserve"> </w:t>
      </w:r>
      <w:r>
        <w:t xml:space="preserve">On a second unseen hazardous class, four models with miss rates bounded below 0.83% escalate between 24.9% and 100% of hazardous windows to alarm-grade action. The shortfall is invisible to a miss metric that counts only the fully passive response, and the model with the best miss rate is not the model with the best escalation rate. Escalation adequacy must be reported alongside missed-hazard rate.</w:t>
      </w:r>
    </w:p>
    <w:p>
      <w:pPr>
        <w:numPr>
          <w:ilvl w:val="0"/>
          <w:numId w:val="1005"/>
        </w:numPr>
      </w:pPr>
      <w:r>
        <w:rPr>
          <w:bCs/>
          <w:b/>
        </w:rPr>
        <w:t xml:space="preserve">A cost-asymmetric objective produced no measurable safety benefit on this benchmark</w:t>
      </w:r>
      <w:r>
        <w:t xml:space="preserve">, at any ratio from 1:1 to 20:1, and degraded accuracy above 6:1. Where hazardous and benign states are well separated and the target action is a deterministic function of the class, no error surface exists for a safety objective to reshape. Validating such an objective requires a corpus with genuine overlap, or a metric under which under-escalation carries cost.</w:t>
      </w:r>
    </w:p>
    <w:p>
      <w:pPr>
        <w:numPr>
          <w:ilvl w:val="0"/>
          <w:numId w:val="1005"/>
        </w:numPr>
      </w:pPr>
      <w:r>
        <w:rPr>
          <w:bCs/>
          <w:b/>
        </w:rPr>
        <w:t xml:space="preserve">Full local operation is achievable within a 2 s sampling budget on commodity edge hardware</w:t>
      </w:r>
      <w:r>
        <w:t xml:space="preserve">, provided explanation is decoupled from the decision path: 14,738 ms synchronous falls to 235 ms asynchronous with INT8 quantization, at a cost of one high-severity false alarm in 316 clean windows — equivalently, 5.8 alarms per hour from a single detector at the deployment cadence — with a thermal margin that halves after 24 minutes of passively cooled operation.</w:t>
      </w:r>
    </w:p>
    <w:p>
      <w:pPr>
        <w:pStyle w:val="FirstParagraph"/>
      </w:pPr>
      <w:r>
        <w:t xml:space="preserve">Taken together, these results argue that missed-hazard behavior, escalation adequacy, false-alarm burden expressed in alarm-management units, degradation under sensor loss and drift, and confidence bounds on every zero count should be reported as standard alongside accuracy in machine-learning studies of gas-hazard monitoring. On the evidence presented here, an evaluation reporting accuracy alone would have been uninformative about every one of these behaviors, and a metric set reporting missed hazards alone would have selected the weaker model.</w:t>
      </w:r>
    </w:p>
    <w:p>
      <w:pPr>
        <w:pStyle w:val="BodyText"/>
      </w:pPr>
      <w:r>
        <w:t xml:space="preserve">Priorities for further work, in order: cross-session and cross-device validation; evaluation on a corpus containing a controlled hydrocarbon release; escalation and false-alarm reporting under the full graded perturbation suite; class-conditional conformal prediction (Angelopoulos and Bates 2023) to convert observed zero-miss counts into distribution-free coverage guarantees on the hazardous class; comparison against classical sequential change detection (Wald 1945; Page 1954), which addresses the same escalation problem with two parameters and provable run-length guarantees and is the natural incumbent for this application; and a properly powered comparison over randomized runs with an equivalence analysis (Benavoli et al. 2017; Bouthillier et al. 2021).</w:t>
      </w:r>
    </w:p>
    <w:p>
      <w:r>
        <w:pict>
          <v:rect style="width:0;height:1.5pt" o:hralign="center" o:hrstd="t" o:hr="t"/>
        </w:pict>
      </w:r>
    </w:p>
    <w:bookmarkEnd w:id="55"/>
    <w:bookmarkStart w:id="56"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natural-language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model parameters θ</w:t>
            </w:r>
          </w:p>
        </w:tc>
      </w:tr>
      <w:tr>
        <w:tc>
          <w:tcPr/>
          <w:p>
            <w:pPr>
              <w:pStyle w:val="Compact"/>
              <w:jc w:val="left"/>
            </w:pPr>
            <w:r>
              <w:rPr>
                <w:bCs/>
                <w:b/>
              </w:rPr>
              <w:t xml:space="preserve">X</w:t>
            </w:r>
            <w:r>
              <w:t xml:space="preserve">ₜ</w:t>
            </w:r>
          </w:p>
        </w:tc>
        <w:tc>
          <w:tcPr/>
          <w:p>
            <w:pPr>
              <w:pStyle w:val="Compact"/>
              <w:jc w:val="left"/>
            </w:pPr>
            <w:r>
              <w:t xml:space="preserve">seven-channel sensor window at cycle</w:t>
            </w:r>
            <w:r>
              <w:t xml:space="preserve"> </w:t>
            </w:r>
            <w:r>
              <w:rPr>
                <w:iCs/>
                <w:i/>
              </w:rPr>
              <w:t xml:space="preserve">t</w:t>
            </w:r>
            <w:r>
              <w:t xml:space="preserve">,</w:t>
            </w:r>
            <w:r>
              <w:t xml:space="preserve"> </w:t>
            </w:r>
            <w:r>
              <w:rPr>
                <w:bCs/>
                <w:b/>
              </w:rPr>
              <w:t xml:space="preserve">X</w:t>
            </w:r>
            <w:r>
              <w:t xml:space="preserve">ₜ ∈ ℝ^(20×7)</w:t>
            </w:r>
          </w:p>
        </w:tc>
      </w:tr>
      <w:tr>
        <w:tc>
          <w:tcPr/>
          <w:p>
            <w:pPr>
              <w:pStyle w:val="Compact"/>
              <w:jc w:val="left"/>
            </w:pPr>
            <w:r>
              <w:rPr>
                <w:bCs/>
                <w:b/>
              </w:rPr>
              <w:t xml:space="preserve">X</w:t>
            </w:r>
            <w:r>
              <w:t xml:space="preserve">′ₜ</w:t>
            </w:r>
          </w:p>
        </w:tc>
        <w:tc>
          <w:tcPr/>
          <w:p>
            <w:pPr>
              <w:pStyle w:val="Compact"/>
              <w:jc w:val="left"/>
            </w:pPr>
            <w:r>
              <w:t xml:space="preserve">normalized sensor window</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4.5)</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φₜ ∈ ℝ²², Eq. 1</w:t>
            </w:r>
          </w:p>
        </w:tc>
      </w:tr>
    </w:tbl>
    <w:p>
      <w:pPr>
        <w:pStyle w:val="BodyText"/>
      </w:pPr>
      <w:r>
        <w:rPr>
          <w:bCs/>
          <w:b/>
        </w:rPr>
        <w:t xml:space="preserve">Subscript.</w:t>
      </w:r>
      <w:r>
        <w:t xml:space="preserve"> </w:t>
      </w:r>
      <w:r>
        <w:rPr>
          <w:iCs/>
          <w:i/>
        </w:rPr>
        <w:t xml:space="preserve">t</w:t>
      </w:r>
      <w:r>
        <w:t xml:space="preserve"> </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VOC, volatile organic compound.</w:t>
      </w:r>
    </w:p>
    <w:p>
      <w:r>
        <w:pict>
          <v:rect style="width:0;height:1.5pt" o:hralign="center" o:hrstd="t" o:hr="t"/>
        </w:pict>
      </w:r>
    </w:p>
    <w:bookmarkEnd w:id="56"/>
    <w:bookmarkStart w:id="57" w:name="acknowledgments"/>
    <w:p>
      <w:pPr>
        <w:pStyle w:val="Heading2"/>
      </w:pPr>
      <w:r>
        <w:t xml:space="preserve">Acknowledgments</w:t>
      </w:r>
    </w:p>
    <w:p>
      <w:pPr>
        <w:pStyle w:val="FirstParagraph"/>
      </w:pPr>
      <w:r>
        <w:t xml:space="preserve">This research was supported by the Subsurface Energy and Digital Innovation Center (SEDI) at the University of Wyoming. The MultimodalGasData corpus is used under CC BY 4.0; the authors thank Narkhede et al. for making it public.</w:t>
      </w:r>
    </w:p>
    <w:bookmarkEnd w:id="57"/>
    <w:bookmarkStart w:id="58"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 original draft.</w:t>
      </w:r>
      <w:r>
        <w:t xml:space="preserve"> </w:t>
      </w:r>
      <w:r>
        <w:rPr>
          <w:bCs/>
          <w:b/>
        </w:rPr>
        <w:t xml:space="preserve">G. Ramezan:</w:t>
      </w:r>
      <w:r>
        <w:t xml:space="preserve"> </w:t>
      </w:r>
      <w:r>
        <w:t xml:space="preserve">conceptualization, methodology, writing — review and editing.</w:t>
      </w:r>
      <w:r>
        <w:t xml:space="preserve"> </w:t>
      </w:r>
      <w:r>
        <w:rPr>
          <w:bCs/>
          <w:b/>
        </w:rPr>
        <w:t xml:space="preserve">S. Saraji:</w:t>
      </w:r>
      <w:r>
        <w:t xml:space="preserve"> </w:t>
      </w:r>
      <w:r>
        <w:t xml:space="preserve">conceptualization, supervision, project administration, resources, writing — review and editing.</w:t>
      </w:r>
    </w:p>
    <w:bookmarkEnd w:id="58"/>
    <w:bookmarkStart w:id="59"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in this paper.</w:t>
      </w:r>
    </w:p>
    <w:bookmarkEnd w:id="59"/>
    <w:bookmarkStart w:id="60"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model checkpoints, and result files supporting the tables in this paper are available from the corresponding author. See Appendix B for the reproducibility statement.</w:t>
      </w:r>
    </w:p>
    <w:p>
      <w:r>
        <w:pict>
          <v:rect style="width:0;height:1.5pt" o:hralign="center" o:hrstd="t" o:hr="t"/>
        </w:pict>
      </w:r>
    </w:p>
    <w:bookmarkEnd w:id="60"/>
    <w:bookmarkStart w:id="61"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 [CITATION NEEDED — verify volume and pagination]</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 [CITATION NEEDED — verify pagination]</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Manie, Y. C., Yao, C.-K.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 [CITATION NEEDED — verify author list and issue]</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 [CITATION NEEDED — verify volume and article number]</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Google DeepMind. 2025. Gemma 3 Technical Report. https://ai.google.dev/gemma. [CITATION NEEDED — cite the Gemma 3 report with correct year and identifier; the submitted manuscript cited a 2024 Gemma reference for a Gemma 3 model]</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 Safety Instrumented Systems for the Process Industry Sector — Part 1: Framework, Definitions, System, Hardware and Application Programming Requirements</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Oil and Gas Value Streams. Paper SPE-229240-MS presented at ADIPEC. https://doi.org/10.2118/229240-MS. [CITATION NEEDED — verify location and dates]</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https://doi.org/10.4043/34756-MS. [CITATION NEEDED — verify location and dates]</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2024. Leak Detection in Natural Gas Pipelines Based on Unsupervised Reconstruction of Healthy Flow Data.</w:t>
      </w:r>
      <w:r>
        <w:t xml:space="preserve"> </w:t>
      </w:r>
      <w:r>
        <w:rPr>
          <w:iCs/>
          <w:i/>
        </w:rPr>
        <w:t xml:space="preserve">SPE Prod &amp; Oper</w:t>
      </w:r>
      <w:r>
        <w:t xml:space="preserve"> </w:t>
      </w:r>
      <w:r>
        <w:t xml:space="preserve">38 (3): 513–526. [CITATION NEEDED — verify pagination, SPE paper number, and DOI. Note: the submitted manuscript cited this as SPE Journal; it appeared in SPE Production &amp; Operations]</w:t>
      </w:r>
    </w:p>
    <w:p>
      <w:pPr>
        <w:pStyle w:val="BodyText"/>
      </w:pPr>
      <w:r>
        <w:t xml:space="preserve">Ma, R., Wang, Y., Li, J. et al. 2026. Minor Pipeline Leak Detection and Localization Using Explainable Deep Learning with Fusion of Distributed Fiber-Optic Vibration and Temperature Signals.</w:t>
      </w:r>
      <w:r>
        <w:t xml:space="preserve"> </w:t>
      </w:r>
      <w:r>
        <w:rPr>
          <w:iCs/>
          <w:i/>
        </w:rPr>
        <w:t xml:space="preserve">Journal of Loss Prevention in the Process Industries</w:t>
      </w:r>
      <w:r>
        <w:t xml:space="preserve"> </w:t>
      </w:r>
      <w:r>
        <w:t xml:space="preserve">100: 105844. [CITATION NEEDED — verify author list]</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w:t>
      </w:r>
      <w:r>
        <w:t xml:space="preserve"> </w:t>
      </w:r>
      <w:r>
        <w:rPr>
          <w:iCs/>
          <w:i/>
        </w:rPr>
        <w:t xml:space="preserve">SPE J.</w:t>
      </w:r>
      <w:r>
        <w:t xml:space="preserve"> </w:t>
      </w:r>
      <w:r>
        <w:t xml:space="preserve">29 (12): 6869–6884. [CITATION NEEDED — verify issue and SPE paper number]</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https://doi.org/10.2118/228143-MS. [CITATION NEEDED — verify location and dates]</w:t>
      </w:r>
    </w:p>
    <w:p>
      <w:pPr>
        <w:pStyle w:val="BodyText"/>
      </w:pPr>
      <w:r>
        <w:t xml:space="preserve">Sharma, A., Kumar, R., Singh, P. et al. 2024. Gas Detection and Classification Using Multimodal Data Based on Federated Learning.</w:t>
      </w:r>
      <w:r>
        <w:t xml:space="preserve"> </w:t>
      </w:r>
      <w:r>
        <w:rPr>
          <w:iCs/>
          <w:i/>
        </w:rPr>
        <w:t xml:space="preserve">Sensors</w:t>
      </w:r>
      <w:r>
        <w:t xml:space="preserve"> </w:t>
      </w:r>
      <w:r>
        <w:t xml:space="preserve">24 (18): 5904. https://doi.org/10.3390/s24185904. [CITATION NEEDED — verify author list]</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Wald, A. 1945. Sequential Tests of Statistical Hypotheses.</w:t>
      </w:r>
      <w:r>
        <w:t xml:space="preserve"> </w:t>
      </w:r>
      <w:r>
        <w:rPr>
          <w:iCs/>
          <w:i/>
        </w:rPr>
        <w:t xml:space="preserve">The Annals of Mathematical Statistics</w:t>
      </w:r>
      <w:r>
        <w:t xml:space="preserve"> </w:t>
      </w:r>
      <w:r>
        <w:t xml:space="preserve">16 (2): 117–186. https://doi.org/10.1214/aoms/1177731118.</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 [CITATION NEEDED — verify article number]</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61"/>
    <w:bookmarkStart w:id="62" w:name="X8c64762cbf3c5cf5f555ea19ddd8ab39a879156"/>
    <w:p>
      <w:pPr>
        <w:pStyle w:val="Heading2"/>
      </w:pPr>
      <w:r>
        <w:t xml:space="preserve">Appendix A — Open Items Requiring Resolution Before Submission</w:t>
      </w:r>
    </w:p>
    <w:p>
      <w:pPr>
        <w:pStyle w:val="FirstParagraph"/>
      </w:pPr>
      <w:r>
        <w:t xml:space="preserve">These are internal inconsistencies and unresolved evaluation gaps carried over from the source experiments. They are listed here rather than silently smoothed over, because several affect numbers that appear in the tables above.</w:t>
      </w:r>
      <w:r>
        <w:t xml:space="preserve"> </w:t>
      </w:r>
      <w:r>
        <w:rPr>
          <w:bCs/>
          <w:b/>
        </w:rPr>
        <w:t xml:space="preserve">This appendix is not intended for publication; it is a work list.</w:t>
      </w:r>
    </w:p>
    <w:p>
      <w:pPr>
        <w:pStyle w:val="BodyText"/>
      </w:pPr>
      <w:r>
        <w:rPr>
          <w:bCs/>
          <w:b/>
        </w:rPr>
        <w:t xml:space="preserve">A.1 — Numerical reconciliations (blocking).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Conflict</w:t>
            </w:r>
          </w:p>
        </w:tc>
        <w:tc>
          <w:tcPr/>
          <w:p>
            <w:pPr>
              <w:pStyle w:val="Compact"/>
              <w:jc w:val="left"/>
            </w:pPr>
            <w:r>
              <w:t xml:space="preserve">Values in play</w:t>
            </w:r>
          </w:p>
        </w:tc>
        <w:tc>
          <w:tcPr/>
          <w:p>
            <w:pPr>
              <w:pStyle w:val="Compact"/>
              <w:jc w:val="left"/>
            </w:pPr>
            <w:r>
              <w:t xml:space="preserve">Resolution required</w:t>
            </w:r>
          </w:p>
        </w:tc>
      </w:tr>
      <w:tr>
        <w:tc>
          <w:tcPr/>
          <w:p>
            <w:pPr>
              <w:pStyle w:val="Compact"/>
              <w:jc w:val="left"/>
            </w:pPr>
            <w:r>
              <w:t xml:space="preserve">Decision accuracy, deployed configuration</w:t>
            </w:r>
          </w:p>
        </w:tc>
        <w:tc>
          <w:tcPr/>
          <w:p>
            <w:pPr>
              <w:pStyle w:val="Compact"/>
              <w:jc w:val="left"/>
            </w:pPr>
            <w:r>
              <w:t xml:space="preserve">94.44% (reference run, Tables 6, 10, 12) vs. 0.9633 ± 0.0215 (five seeds, Table 7)</w:t>
            </w:r>
          </w:p>
        </w:tc>
        <w:tc>
          <w:tcPr/>
          <w:p>
            <w:pPr>
              <w:pStyle w:val="Compact"/>
              <w:jc w:val="left"/>
            </w:pPr>
            <w:r>
              <w:t xml:space="preserve">Determine whether these are the same protocol. If so, report one. If not, state the difference in the text.</w:t>
            </w:r>
          </w:p>
        </w:tc>
      </w:tr>
      <w:tr>
        <w:tc>
          <w:tcPr/>
          <w:p>
            <w:pPr>
              <w:pStyle w:val="Compact"/>
              <w:jc w:val="left"/>
            </w:pPr>
            <w:r>
              <w:t xml:space="preserve">Supervised MLP accuracy</w:t>
            </w:r>
          </w:p>
        </w:tc>
        <w:tc>
          <w:tcPr/>
          <w:p>
            <w:pPr>
              <w:pStyle w:val="Compact"/>
              <w:jc w:val="left"/>
            </w:pPr>
            <w:r>
              <w:t xml:space="preserve">98.20% (Table 10) vs. 0.9616 ± 0.0111 (Table 7)</w:t>
            </w:r>
          </w:p>
        </w:tc>
        <w:tc>
          <w:tcPr/>
          <w:p>
            <w:pPr>
              <w:pStyle w:val="Compact"/>
              <w:jc w:val="left"/>
            </w:pPr>
            <w:r>
              <w:t xml:space="preserve">Same.</w:t>
            </w:r>
          </w:p>
        </w:tc>
      </w:tr>
      <w:tr>
        <w:tc>
          <w:tcPr/>
          <w:p>
            <w:pPr>
              <w:pStyle w:val="Compact"/>
              <w:jc w:val="left"/>
            </w:pPr>
            <w:r>
              <w:t xml:space="preserve">Window counts</w:t>
            </w:r>
          </w:p>
        </w:tc>
        <w:tc>
          <w:tcPr/>
          <w:p>
            <w:pPr>
              <w:pStyle w:val="Compact"/>
              <w:jc w:val="left"/>
            </w:pPr>
            <w:r>
              <w:t xml:space="preserve">6,380 (§3.1 arithmetic: 5,024 + 1,276 + 80 embargo) vs. 6,324 (source report,</w:t>
            </w:r>
            <w:r>
              <w:t xml:space="preserve"> </w:t>
            </w:r>
            <w:r>
              <w:t xml:space="preserve">“</w:t>
            </w:r>
            <w:r>
              <w:t xml:space="preserve">after dropping class-boundary-straddling windows</w:t>
            </w:r>
            <w:r>
              <w:t xml:space="preserve">”</w:t>
            </w:r>
            <w:r>
              <w:t xml:space="preserve">) vs. 1,581 per class implied by the Clopper–Pearson bounds in Table 8</w:t>
            </w:r>
          </w:p>
        </w:tc>
        <w:tc>
          <w:tcPr/>
          <w:p>
            <w:pPr>
              <w:pStyle w:val="Compact"/>
              <w:jc w:val="left"/>
            </w:pPr>
            <w:r>
              <w:t xml:space="preserve">Reconcile to one number and one procedure; state explicitly whether boundary-straddling windows were retained or discarded. Explain the 316/320/320/320 asymmetry.</w:t>
            </w:r>
          </w:p>
        </w:tc>
      </w:tr>
      <w:tr>
        <w:tc>
          <w:tcPr/>
          <w:p>
            <w:pPr>
              <w:pStyle w:val="Compact"/>
              <w:jc w:val="left"/>
            </w:pPr>
            <w:r>
              <w:t xml:space="preserve">Intermediate latency</w:t>
            </w:r>
          </w:p>
        </w:tc>
        <w:tc>
          <w:tcPr/>
          <w:p>
            <w:pPr>
              <w:pStyle w:val="Compact"/>
              <w:jc w:val="left"/>
            </w:pPr>
            <w:r>
              <w:t xml:space="preserve">A float32-asynchronous configuration at 503 ms is referenced in the source draft but has no row in Table 12</w:t>
            </w:r>
          </w:p>
        </w:tc>
        <w:tc>
          <w:tcPr/>
          <w:p>
            <w:pPr>
              <w:pStyle w:val="Compact"/>
              <w:jc w:val="left"/>
            </w:pPr>
            <w:r>
              <w:t xml:space="preserve">Add the configuration or remove the reference.</w:t>
            </w:r>
          </w:p>
        </w:tc>
      </w:tr>
      <w:tr>
        <w:tc>
          <w:tcPr/>
          <w:p>
            <w:pPr>
              <w:pStyle w:val="Compact"/>
              <w:jc w:val="left"/>
            </w:pPr>
            <w:r>
              <w:t xml:space="preserve">Decision-state ablation</w:t>
            </w:r>
          </w:p>
        </w:tc>
        <w:tc>
          <w:tcPr/>
          <w:p>
            <w:pPr>
              <w:pStyle w:val="Compact"/>
              <w:jc w:val="left"/>
            </w:pPr>
            <w:r>
              <w:t xml:space="preserve">The source draft cites −2.75 pp (anomaly score removed) and −10.27 pp (temporal features removed); no such experiment appears in any result file</w:t>
            </w:r>
          </w:p>
        </w:tc>
        <w:tc>
          <w:tcPr/>
          <w:p>
            <w:pPr>
              <w:pStyle w:val="Compact"/>
              <w:jc w:val="left"/>
            </w:pPr>
            <w:r>
              <w:t xml:space="preserve">Run and report the ablation, or remove the claim. This also determines whether the anomaly score contributes to the action at all (§4.1).</w:t>
            </w:r>
          </w:p>
        </w:tc>
      </w:tr>
      <w:tr>
        <w:tc>
          <w:tcPr/>
          <w:p>
            <w:pPr>
              <w:pStyle w:val="Compact"/>
              <w:jc w:val="left"/>
            </w:pPr>
            <w:r>
              <w:t xml:space="preserve">Boundary stress test</w:t>
            </w:r>
          </w:p>
        </w:tc>
        <w:tc>
          <w:tcPr/>
          <w:p>
            <w:pPr>
              <w:pStyle w:val="Compact"/>
              <w:jc w:val="left"/>
            </w:pPr>
            <w:r>
              <w:t xml:space="preserve">An additional experiment reports the cost-weighted policy at 0.9584, matching the</w:t>
            </w:r>
            <w:r>
              <w:t xml:space="preserve"> </w:t>
            </w:r>
            <w:r>
              <w:rPr>
                <w:iCs/>
                <w:i/>
              </w:rPr>
              <w:t xml:space="preserve">C</w:t>
            </w:r>
            <w:r>
              <w:t xml:space="preserve"> </w:t>
            </w:r>
            <w:r>
              <w:t xml:space="preserve">= 10:1 configuration rather than the deployed 8:1</w:t>
            </w:r>
          </w:p>
        </w:tc>
        <w:tc>
          <w:tcPr/>
          <w:p>
            <w:pPr>
              <w:pStyle w:val="Compact"/>
              <w:jc w:val="left"/>
            </w:pPr>
            <w:r>
              <w:t xml:space="preserve">Determine which configuration was evaluated; include or exclude the experiment accordingly.</w:t>
            </w:r>
          </w:p>
        </w:tc>
      </w:tr>
    </w:tbl>
    <w:p>
      <w:pPr>
        <w:pStyle w:val="BodyText"/>
      </w:pPr>
      <w:r>
        <w:rPr>
          <w:bCs/>
          <w:b/>
        </w:rPr>
        <w:t xml:space="preserve">A.2 — Evaluation gaps (expected by reviewers).</w:t>
      </w:r>
    </w:p>
    <w:p>
      <w:pPr>
        <w:numPr>
          <w:ilvl w:val="0"/>
          <w:numId w:val="1006"/>
        </w:numPr>
        <w:pStyle w:val="Compact"/>
      </w:pPr>
      <w:r>
        <w:t xml:space="preserve">Refit τ on a disjoint calibration split; re-report anomaly AUC, TPR, and FPR on held-out NoGas windows only (§4.1).</w:t>
      </w:r>
    </w:p>
    <w:p>
      <w:pPr>
        <w:numPr>
          <w:ilvl w:val="0"/>
          <w:numId w:val="1006"/>
        </w:numPr>
        <w:pStyle w:val="Compact"/>
      </w:pPr>
      <w:r>
        <w:t xml:space="preserve">Report the per-class anomaly-score distribution and state whether the score ranks hazard monotonically (§4.1).</w:t>
      </w:r>
    </w:p>
    <w:p>
      <w:pPr>
        <w:numPr>
          <w:ilvl w:val="0"/>
          <w:numId w:val="1006"/>
        </w:numPr>
        <w:pStyle w:val="Compact"/>
      </w:pPr>
      <w:r>
        <w:t xml:space="preserve">Re-split the thermal images block-wise and re-report perception accuracy (§3.3). A fall in accuracy is a reportable result, not a setback.</w:t>
      </w:r>
    </w:p>
    <w:p>
      <w:pPr>
        <w:numPr>
          <w:ilvl w:val="0"/>
          <w:numId w:val="1006"/>
        </w:numPr>
        <w:pStyle w:val="Compact"/>
      </w:pPr>
      <w:r>
        <w:t xml:space="preserve">Add escalation adequacy and high-severity false-alarm rate to every row of Table 10 (§4.5). Without these, graceful degradation cannot be distinguished from indiscriminate escalation.</w:t>
      </w:r>
    </w:p>
    <w:p>
      <w:pPr>
        <w:numPr>
          <w:ilvl w:val="0"/>
          <w:numId w:val="1006"/>
        </w:numPr>
        <w:pStyle w:val="Compact"/>
      </w:pPr>
      <w:r>
        <w:t xml:space="preserve">Extend the perturbation suite to five graded severities per perturbation type and report a breakdown point per model; sweep channel dropout across</w:t>
      </w:r>
      <w:r>
        <w:t xml:space="preserve"> </w:t>
      </w:r>
      <w:r>
        <w:rPr>
          <w:iCs/>
          <w:i/>
        </w:rPr>
        <w:t xml:space="preserve">k</w:t>
      </w:r>
      <w:r>
        <w:t xml:space="preserve"> </w:t>
      </w:r>
      <w:r>
        <w:t xml:space="preserve">= 1…7.</w:t>
      </w:r>
    </w:p>
    <w:p>
      <w:pPr>
        <w:numPr>
          <w:ilvl w:val="0"/>
          <w:numId w:val="1006"/>
        </w:numPr>
        <w:pStyle w:val="Compact"/>
      </w:pPr>
      <w:r>
        <w:t xml:space="preserve">Add the remaining four model families (SVM, random forest, recurrent, conservative offline RL) to the LOCO experiment, or state why they are excluded.</w:t>
      </w:r>
    </w:p>
    <w:p>
      <w:pPr>
        <w:numPr>
          <w:ilvl w:val="0"/>
          <w:numId w:val="1006"/>
        </w:numPr>
        <w:pStyle w:val="Compact"/>
      </w:pPr>
      <w:r>
        <w:t xml:space="preserve">Re-select the deployed cost ratio on a held-out validation split (§4.4).</w:t>
      </w:r>
    </w:p>
    <w:p>
      <w:pPr>
        <w:numPr>
          <w:ilvl w:val="0"/>
          <w:numId w:val="1006"/>
        </w:numPr>
        <w:pStyle w:val="Compact"/>
      </w:pPr>
      <w:r>
        <w:t xml:space="preserve">Add debiased, adaptive-binned, and class-conditional ECE with bootstrap intervals, a bin-count sweep, multiclass Brier score, and reliability diagrams (§4.6).</w:t>
      </w:r>
    </w:p>
    <w:p>
      <w:pPr>
        <w:numPr>
          <w:ilvl w:val="0"/>
          <w:numId w:val="1006"/>
        </w:numPr>
        <w:pStyle w:val="Compact"/>
      </w:pPr>
      <w:r>
        <w:t xml:space="preserve">Add a deployable threshold-rule baseline on the raw MQ channels, evaluated under every perturbation condition, so that the learned models have an incumbent-practice comparator.</w:t>
      </w:r>
    </w:p>
    <w:p>
      <w:pPr>
        <w:numPr>
          <w:ilvl w:val="0"/>
          <w:numId w:val="1006"/>
        </w:numPr>
        <w:pStyle w:val="Compact"/>
      </w:pPr>
      <w:r>
        <w:t xml:space="preserve">Add classical sequential change detection (CUSUM, SPRT) and a</w:t>
      </w:r>
      <w:r>
        <w:t xml:space="preserve"> </w:t>
      </w:r>
      <w:r>
        <w:rPr>
          <w:iCs/>
          <w:i/>
        </w:rPr>
        <w:t xml:space="preserve">k</w:t>
      </w:r>
      <w:r>
        <w:t xml:space="preserve">-nearest-neighbor baseline; both are likely to be named by reviewers if absent.</w:t>
      </w:r>
    </w:p>
    <w:p>
      <w:pPr>
        <w:numPr>
          <w:ilvl w:val="0"/>
          <w:numId w:val="1006"/>
        </w:numPr>
        <w:pStyle w:val="Compact"/>
      </w:pPr>
      <w:r>
        <w:t xml:space="preserve">Run a properly powered comparison — randomized runs varying seed, split, augmentation, and hyperparameter draw — with an equivalence analysis over a region of practical equivalence.</w:t>
      </w:r>
    </w:p>
    <w:p>
      <w:pPr>
        <w:pStyle w:val="FirstParagraph"/>
      </w:pPr>
      <w:r>
        <w:rPr>
          <w:bCs/>
          <w:b/>
        </w:rPr>
        <w:t xml:space="preserve">A.3 — Figures.</w:t>
      </w:r>
      <w:r>
        <w:t xml:space="preserve"> </w:t>
      </w:r>
      <w:r>
        <w:t xml:space="preserve">The source draft allocates eleven figures, six of them to two component models, while the paper’s principal experiment (§4.3) has none. Suggested allocation: merge the perception figures into one panel, the anomaly figures into one panel, and the policy-behavior figures into one panel; delete the training-dynamics figure, which describes a training procedure that does not correspond to the model reported here; and add three figures — LOCO missed-hazard rate and escalation adequacy by held-out class and model; the cost-asymmetry sweep with the flat miss line made visible; and perturbation breakdown curves once item A.2.4 is complete. Redraw the architecture figure so that the vision branch’s advisory-only path is explicit, since the decision state contains no visual term.</w:t>
      </w:r>
    </w:p>
    <w:p>
      <w:pPr>
        <w:pStyle w:val="BodyText"/>
      </w:pPr>
      <w:r>
        <w:rPr>
          <w:bCs/>
          <w:b/>
        </w:rPr>
        <w:t xml:space="preserve">A.4 — Terminology.</w:t>
      </w:r>
      <w:r>
        <w:t xml:space="preserve"> </w:t>
      </w:r>
      <w:r>
        <w:t xml:space="preserve">The source draft describes the decision component as trained by offline reward-shaped reinforcement learning, with an asymmetric reward, ε-greedy action selection, replay episodes, cumulative reward, and a Huber loss. The model producing every number in this paper is trained by cost-weighted cross-entropy against targets generated by the deterministic map</w:t>
      </w:r>
      <w:r>
        <w:t xml:space="preserve"> </w:t>
      </w:r>
      <w:r>
        <w:rPr>
          <w:iCs/>
          <w:i/>
        </w:rPr>
        <w:t xml:space="preserve">a</w:t>
      </w:r>
      <w:r>
        <w:t xml:space="preserve">*(·), as described in Section 3.3 and Eq. 2. The description in this manuscript is the correct one. All reinforcement-learning language, and the associated training-dynamics figure, have been removed.</w:t>
      </w:r>
      <w:r>
        <w:t xml:space="preserve"> </w:t>
      </w:r>
      <w:r>
        <w:rPr>
          <w:bCs/>
          <w:b/>
        </w:rPr>
        <w:t xml:space="preserve">This correction should carry explicit sign-off from all authors before submission.</w:t>
      </w:r>
    </w:p>
    <w:p>
      <w:r>
        <w:pict>
          <v:rect style="width:0;height:1.5pt" o:hralign="center" o:hrstd="t" o:hr="t"/>
        </w:pict>
      </w:r>
    </w:p>
    <w:bookmarkEnd w:id="62"/>
    <w:bookmarkStart w:id="63" w:name="appendix-b-reproducibility-statement"/>
    <w:p>
      <w:pPr>
        <w:pStyle w:val="Heading2"/>
      </w:pPr>
      <w:r>
        <w:t xml:space="preserve">Appendix B — Reproducibility Statement</w:t>
      </w:r>
    </w:p>
    <w:p>
      <w:pPr>
        <w:pStyle w:val="FirstParagraph"/>
      </w:pPr>
      <w:r>
        <w:t xml:space="preserve">All experiments use five initialization seeds (42, 1337, 7, 2024, 99) with PyTorch determinism guards enabled and single-threaded execution. The block-wise partition is generated once and held fixed across runs; it is not reseeded, and reported dispersion therefore excludes partition variance.</w:t>
      </w:r>
    </w:p>
    <w:p>
      <w:pPr>
        <w:pStyle w:val="BodyText"/>
      </w:pPr>
      <w:r>
        <w:t xml:space="preserve">The leave-one-class-out grid (four withheld classes × four models × five seeds) was executed as four independent per-class runs rather than as a single process, owing to a process-table limit on the acquisition workstation that terminated longer runs. Each reported cell derives from a completed training over all five seeds; the Clopper–Pearson bounds are deterministic functions of the resulting counts. The results are unaffected, but the provenance is</w:t>
      </w:r>
      <w:r>
        <w:t xml:space="preserve"> </w:t>
      </w:r>
      <w:r>
        <w:t xml:space="preserve">“</w:t>
      </w:r>
      <w:r>
        <w:t xml:space="preserve">aggregated from independent per-class runs</w:t>
      </w:r>
      <w:r>
        <w:t xml:space="preserve">”</w:t>
      </w:r>
      <w:r>
        <w:t xml:space="preserve"> </w:t>
      </w:r>
      <w:r>
        <w:t xml:space="preserve">rather than a single monolithic execution, and a reviewer requiring the latter should be able to reproduce it on a platform without this limit.</w:t>
      </w:r>
    </w:p>
    <w:p>
      <w:pPr>
        <w:pStyle w:val="BodyText"/>
      </w:pPr>
      <w:r>
        <w:t xml:space="preserve">Model checkpoints, experiment drivers, and the result files underlying Tables 7–12 are available from the corresponding author.</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2026-09-09T07:06:17Z</dcterms:created>
  <dcterms:modified xsi:type="dcterms:W3CDTF">2026-09-09T07:06:17Z</dcterms:modified>
</cp:coreProperties>
</file>

<file path=docProps/custom.xml><?xml version="1.0" encoding="utf-8"?>
<Properties xmlns="http://schemas.openxmlformats.org/officeDocument/2006/custom-properties" xmlns:vt="http://schemas.openxmlformats.org/officeDocument/2006/docPropsVTypes"/>
</file>