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referee-report-and-editorial-assessment"/>
    <w:p>
      <w:pPr>
        <w:pStyle w:val="Heading1"/>
      </w:pPr>
      <w:r>
        <w:t xml:space="preserve">Referee Report and Editorial Assessment</w:t>
      </w:r>
    </w:p>
    <w:p>
      <w:pPr>
        <w:pStyle w:val="FirstParagraph"/>
      </w:pPr>
      <w:r>
        <w:rPr>
          <w:bCs/>
          <w:b/>
        </w:rPr>
        <w:t xml:space="preserve">Manuscript:</w:t>
      </w:r>
      <w:r>
        <w:t xml:space="preserve"> </w:t>
      </w:r>
      <w:r>
        <w:rPr>
          <w:iCs/>
          <w:i/>
        </w:rPr>
        <w:t xml:space="preserve">ARXIS: Edge-Deployable Agentic AI for Safety-Critical Gas Monitoring and Action Selection</w:t>
      </w:r>
      <w:r>
        <w:t xml:space="preserve"> </w:t>
      </w:r>
      <w:r>
        <w:rPr>
          <w:bCs/>
          <w:b/>
        </w:rPr>
        <w:t xml:space="preserve">Authors:</w:t>
      </w:r>
      <w:r>
        <w:t xml:space="preserve"> </w:t>
      </w:r>
      <w:r>
        <w:t xml:space="preserve">B. C. Nweke, G. Ramezan, S. Saraji</w:t>
      </w:r>
      <w:r>
        <w:t xml:space="preserve"> </w:t>
      </w:r>
      <w:r>
        <w:rPr>
          <w:bCs/>
          <w:b/>
        </w:rPr>
        <w:t xml:space="preserve">Target venue:</w:t>
      </w:r>
      <w:r>
        <w:t xml:space="preserve"> </w:t>
      </w:r>
      <w:r>
        <w:t xml:space="preserve">SPE Journal — Data Science and Engineering Analytics (DSEA)</w:t>
      </w:r>
      <w:r>
        <w:t xml:space="preserve"> </w:t>
      </w:r>
      <w:r>
        <w:rPr>
          <w:bCs/>
          <w:b/>
        </w:rPr>
        <w:t xml:space="preserve">Reviewer role:</w:t>
      </w:r>
      <w:r>
        <w:t xml:space="preserve"> </w:t>
      </w:r>
      <w:r>
        <w:t xml:space="preserve">Senior reviewer / scientific editor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9 September 2026</w:t>
      </w:r>
    </w:p>
    <w:p>
      <w:r>
        <w:pict>
          <v:rect style="width:0;height:1.5pt" o:hralign="center" o:hrstd="t" o:hr="t"/>
        </w:pict>
      </w:r>
    </w:p>
    <w:bookmarkStart w:id="20" w:name="X60ac1d999b6bb280afffd140480d9ed898abc11"/>
    <w:p>
      <w:pPr>
        <w:pStyle w:val="Heading2"/>
      </w:pPr>
      <w:r>
        <w:t xml:space="preserve">Preliminary note on the basis of this review</w:t>
      </w:r>
    </w:p>
    <w:p>
      <w:pPr>
        <w:pStyle w:val="FirstParagraph"/>
      </w:pPr>
      <w:r>
        <w:t xml:space="preserve">This review is unusual in one respect: in addition to the manuscript, I have examined the</w:t>
      </w:r>
      <w:r>
        <w:t xml:space="preserve"> </w:t>
      </w:r>
      <w:r>
        <w:t xml:space="preserve">authors’ own experiment outputs (</w:t>
      </w:r>
      <w:r>
        <w:rPr>
          <w:rStyle w:val="VerbatimChar"/>
        </w:rPr>
        <w:t xml:space="preserve">retrain/results/*.csv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retrain/rewards.py</w:t>
      </w:r>
      <w:r>
        <w:t xml:space="preserve">) and the project’s prior internal audits. Several of the findings below</w:t>
      </w:r>
      <w:r>
        <w:t xml:space="preserve"> </w:t>
      </w:r>
      <w:r>
        <w:t xml:space="preserve">are therefore not reviewer conjecture — they are discrepancies between what the manuscript</w:t>
      </w:r>
      <w:r>
        <w:t xml:space="preserve"> </w:t>
      </w:r>
      <w:r>
        <w:t xml:space="preserve">states and what the authors’ own result files contain. Where that is the case I give the file</w:t>
      </w:r>
      <w:r>
        <w:t xml:space="preserve"> </w:t>
      </w:r>
      <w:r>
        <w:t xml:space="preserve">and the number.</w:t>
      </w:r>
    </w:p>
    <w:p>
      <w:pPr>
        <w:pStyle w:val="BodyText"/>
      </w:pPr>
      <w:r>
        <w:t xml:space="preserve">I have taken this route because the manuscript makes strong safety claims. In a safety</w:t>
      </w:r>
      <w:r>
        <w:t xml:space="preserve"> </w:t>
      </w:r>
      <w:r>
        <w:t xml:space="preserve">context, a claim that cannot be traced to a number is not a weak claim; it is a liability.</w:t>
      </w:r>
    </w:p>
    <w:p>
      <w:r>
        <w:pict>
          <v:rect style="width:0;height:1.5pt" o:hralign="center" o:hrstd="t" o:hr="t"/>
        </w:pict>
      </w:r>
    </w:p>
    <w:bookmarkEnd w:id="20"/>
    <w:bookmarkStart w:id="24" w:name="a.-overall-assessment"/>
    <w:p>
      <w:pPr>
        <w:pStyle w:val="Heading2"/>
      </w:pPr>
      <w:r>
        <w:t xml:space="preserve">A. Overall Assessment</w:t>
      </w:r>
    </w:p>
    <w:bookmarkStart w:id="21" w:name="a.1-strengths"/>
    <w:p>
      <w:pPr>
        <w:pStyle w:val="Heading3"/>
      </w:pPr>
      <w:r>
        <w:t xml:space="preserve">A.1 Strengths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framing question is genuinely good and genuinely underserved.</w:t>
      </w:r>
      <w:r>
        <w:t xml:space="preserve"> </w:t>
      </w:r>
      <w:r>
        <w:t xml:space="preserve">“</w:t>
      </w:r>
      <w:r>
        <w:t xml:space="preserve">Detection is not</w:t>
      </w:r>
      <w:r>
        <w:t xml:space="preserve"> </w:t>
      </w:r>
      <w:r>
        <w:t xml:space="preserve">response</w:t>
      </w:r>
      <w:r>
        <w:t xml:space="preserve">”</w:t>
      </w:r>
      <w:r>
        <w:t xml:space="preserve"> </w:t>
      </w:r>
      <w:r>
        <w:t xml:space="preserve">is a real gap. Alarm-management literature supports it, incident history supports</w:t>
      </w:r>
      <w:r>
        <w:t xml:space="preserve"> </w:t>
      </w:r>
      <w:r>
        <w:t xml:space="preserve">it, and almost no gas-detection ML paper engages with it. If the paper delivered on this</w:t>
      </w:r>
      <w:r>
        <w:t xml:space="preserve"> </w:t>
      </w:r>
      <w:r>
        <w:t xml:space="preserve">premise it would be a strong DSEA contribution.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leakage control on the sensor split is above the norm for this literature.</w:t>
      </w:r>
      <w:r>
        <w:t xml:space="preserve"> </w:t>
      </w:r>
      <w:r>
        <w:t xml:space="preserve">A</w:t>
      </w:r>
      <w:r>
        <w:t xml:space="preserve"> </w:t>
      </w:r>
      <w:r>
        <w:t xml:space="preserve">block-wise holdout with an explicit 20-window embargo between train and test, with</w:t>
      </w:r>
      <w:r>
        <w:t xml:space="preserve"> </w:t>
      </w:r>
      <w:r>
        <w:t xml:space="preserve">normalization fit on the training partition only, is more careful than the great majority of</w:t>
      </w:r>
      <w:r>
        <w:t xml:space="preserve"> </w:t>
      </w:r>
      <w:r>
        <w:t xml:space="preserve">published work on this benchmark, essentially all of which shuffles overlapping windows.</w:t>
      </w:r>
      <w:r>
        <w:t xml:space="preserve"> </w:t>
      </w:r>
      <w:r>
        <w:t xml:space="preserve">This is a real methodological asset and the paper currently undersells it.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leave-one-class-out (LOCO) experiment is the most interesting thing in the paper.</w:t>
      </w:r>
      <w:r>
        <w:t xml:space="preserve"> </w:t>
      </w:r>
      <w:r>
        <w:t xml:space="preserve">Training on three gases and testing on the fourth is the right shape of question for a</w:t>
      </w:r>
      <w:r>
        <w:t xml:space="preserve"> </w:t>
      </w:r>
      <w:r>
        <w:t xml:space="preserve">safety system, and the result — that models tied on in-distribution accuracy separate by two</w:t>
      </w:r>
      <w:r>
        <w:t xml:space="preserve"> </w:t>
      </w:r>
      <w:r>
        <w:t xml:space="preserve">orders of magnitude on out-of-distribution miss rate — is exactly the kind of finding a</w:t>
      </w:r>
      <w:r>
        <w:t xml:space="preserve"> </w:t>
      </w:r>
      <w:r>
        <w:t xml:space="preserve">safety-oriented reviewer wants to see.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Clopper–Pearson bounds appear (Table 8).</w:t>
      </w:r>
      <w:r>
        <w:t xml:space="preserve"> </w:t>
      </w:r>
      <w:r>
        <w:t xml:space="preserve">Most papers in this space report</w:t>
      </w:r>
      <w:r>
        <w:t xml:space="preserve"> </w:t>
      </w:r>
      <w:r>
        <w:t xml:space="preserve">“</w:t>
      </w:r>
      <w:r>
        <w:t xml:space="preserve">0%</w:t>
      </w:r>
      <w:r>
        <w:t xml:space="preserve">”</w:t>
      </w:r>
      <w:r>
        <w:t xml:space="preserve"> </w:t>
      </w:r>
      <w:r>
        <w:t xml:space="preserve">and stop.</w:t>
      </w:r>
      <w:r>
        <w:t xml:space="preserve"> </w:t>
      </w:r>
      <w:r>
        <w:t xml:space="preserve">The instinct is correct; it is simply applied inconsistently (see B.5).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edge-deployment study is honest, concrete and useful.</w:t>
      </w:r>
      <w:r>
        <w:t xml:space="preserve"> </w:t>
      </w:r>
      <w:r>
        <w:t xml:space="preserve">Reporting P99 latency, thermal</w:t>
      </w:r>
      <w:r>
        <w:t xml:space="preserve"> </w:t>
      </w:r>
      <w:r>
        <w:t xml:space="preserve">throttling behaviour over a sustained run, and the INT8 accuracy/false-alarm cost of</w:t>
      </w:r>
      <w:r>
        <w:t xml:space="preserve"> </w:t>
      </w:r>
      <w:r>
        <w:t xml:space="preserve">quantization is more operational realism than most DSEA submissions offer.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Prose quality is high.</w:t>
      </w:r>
      <w:r>
        <w:t xml:space="preserve"> </w:t>
      </w:r>
      <w:r>
        <w:t xml:space="preserve">Sentence-level writing is clear, controlled and largely free of the</w:t>
      </w:r>
      <w:r>
        <w:t xml:space="preserve"> </w:t>
      </w:r>
      <w:r>
        <w:t xml:space="preserve">hype register. The problem is not the writing; it is what the writing is asked to assert.</w:t>
      </w:r>
    </w:p>
    <w:bookmarkEnd w:id="21"/>
    <w:bookmarkStart w:id="22" w:name="a.2-major-weaknesses"/>
    <w:p>
      <w:pPr>
        <w:pStyle w:val="Heading3"/>
      </w:pPr>
      <w:r>
        <w:t xml:space="preserve">A.2 Major weaknesses</w:t>
      </w:r>
    </w:p>
    <w:p>
      <w:pPr>
        <w:pStyle w:val="FirstParagraph"/>
      </w:pPr>
      <w:r>
        <w:t xml:space="preserve">I group these by severity.</w:t>
      </w:r>
      <w:r>
        <w:t xml:space="preserve"> </w:t>
      </w:r>
      <w:r>
        <w:rPr>
          <w:bCs/>
          <w:b/>
        </w:rPr>
        <w:t xml:space="preserve">W1–W4 are, in my judgement, blocking.</w:t>
      </w:r>
      <w:r>
        <w:t xml:space="preserve"> </w:t>
      </w:r>
      <w:r>
        <w:t xml:space="preserve">They are not presentational</w:t>
      </w:r>
      <w:r>
        <w:t xml:space="preserve"> </w:t>
      </w:r>
      <w:r>
        <w:t xml:space="preserve">and cannot be resolved by rewriting.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W1. The system described in Section 3 is not the system that produced the results in</w:t>
      </w:r>
      <w:r>
        <w:rPr>
          <w:bCs/>
          <w:b/>
        </w:rPr>
        <w:t xml:space="preserve"> </w:t>
      </w:r>
      <w:r>
        <w:rPr>
          <w:bCs/>
          <w:b/>
        </w:rPr>
        <w:t xml:space="preserve">Section 4.</w:t>
      </w:r>
    </w:p>
    <w:p>
      <w:pPr>
        <w:pStyle w:val="BodyText"/>
      </w:pPr>
      <w:r>
        <w:t xml:space="preserve">Section 3.3 and Section 4.4 describe reinforcement learning: an asymmetric reward with four</w:t>
      </w:r>
      <w:r>
        <w:t xml:space="preserve"> </w:t>
      </w:r>
      <w:r>
        <w:t xml:space="preserve">components, ε-greedy action selection, 200 episodes of replay, cumulative reward rising from</w:t>
      </w:r>
      <w:r>
        <w:t xml:space="preserve"> </w:t>
      </w:r>
      <w:r>
        <w:t xml:space="preserve">−2,843 to +4,336, a Huber loss converging to 0.0342, and a rolling danger-miss curve.</w:t>
      </w:r>
    </w:p>
    <w:p>
      <w:pPr>
        <w:pStyle w:val="BodyText"/>
      </w:pPr>
      <w:r>
        <w:t xml:space="preserve">The authors’ own</w:t>
      </w:r>
      <w:r>
        <w:t xml:space="preserve"> </w:t>
      </w:r>
      <w:r>
        <w:rPr>
          <w:rStyle w:val="VerbatimChar"/>
        </w:rPr>
        <w:t xml:space="preserve">retrain/results/REPORT.md</w:t>
      </w:r>
      <w:r>
        <w:t xml:space="preserve"> </w:t>
      </w:r>
      <w:r>
        <w:t xml:space="preserve">states that the deployed Decision Agent is:</w:t>
      </w:r>
    </w:p>
    <w:p>
      <w:pPr>
        <w:pStyle w:val="BlockText"/>
      </w:pPr>
      <w:r>
        <w:t xml:space="preserve">“</w:t>
      </w:r>
      <w:r>
        <w:t xml:space="preserve">Cost-weighted cross-entropy against rule-oracle action. Per-row weight =</w:t>
      </w:r>
      <w:r>
        <w:t xml:space="preserve"> </w:t>
      </w:r>
      <w:r>
        <w:rPr>
          <w:rStyle w:val="VerbatimChar"/>
        </w:rPr>
        <w:t xml:space="preserve">miss_cost</w:t>
      </w:r>
      <w:r>
        <w:t xml:space="preserve"> </w:t>
      </w:r>
      <w:r>
        <w:t xml:space="preserve">for</w:t>
      </w:r>
      <w:r>
        <w:t xml:space="preserve"> </w:t>
      </w:r>
      <w:r>
        <w:t xml:space="preserve">danger gases (Smoke/Mixture) and</w:t>
      </w:r>
      <w:r>
        <w:t xml:space="preserve"> </w:t>
      </w:r>
      <w:r>
        <w:rPr>
          <w:rStyle w:val="VerbatimChar"/>
        </w:rPr>
        <w:t xml:space="preserve">false_cost</w:t>
      </w:r>
      <w:r>
        <w:t xml:space="preserve"> </w:t>
      </w:r>
      <w:r>
        <w:t xml:space="preserve">for clean/Perfume rows.</w:t>
      </w:r>
      <w:r>
        <w:t xml:space="preserve">”</w:t>
      </w:r>
    </w:p>
    <w:p>
      <w:pPr>
        <w:pStyle w:val="FirstParagraph"/>
      </w:pPr>
      <w:r>
        <w:t xml:space="preserve">That is supervised classification with per-sample loss weights. There is no reward, no policy</w:t>
      </w:r>
      <w:r>
        <w:t xml:space="preserve"> </w:t>
      </w:r>
      <w:r>
        <w:t xml:space="preserve">improvement, no exploration, no bootstrapping, no Q-learning.</w:t>
      </w:r>
      <w:r>
        <w:t xml:space="preserve"> </w:t>
      </w:r>
      <w:r>
        <w:rPr>
          <w:rStyle w:val="VerbatimChar"/>
        </w:rPr>
        <w:t xml:space="preserve">retrain/rewards.py</w:t>
      </w:r>
      <w:r>
        <w:t xml:space="preserve"> </w:t>
      </w:r>
      <w:r>
        <w:t xml:space="preserve">defines</w:t>
      </w:r>
      <w:r>
        <w:t xml:space="preserve"> </w:t>
      </w:r>
      <w:r>
        <w:t xml:space="preserve">reward functions, but no experiment that generates a reported number consumes them; the training</w:t>
      </w:r>
      <w:r>
        <w:t xml:space="preserve"> </w:t>
      </w:r>
      <w:r>
        <w:t xml:space="preserve">target is</w:t>
      </w:r>
      <w:r>
        <w:t xml:space="preserve"> </w:t>
      </w:r>
      <w:r>
        <w:rPr>
          <w:rStyle w:val="VerbatimChar"/>
        </w:rPr>
        <w:t xml:space="preserve">rule_oracle_action(gas_id)</w:t>
      </w:r>
      <w:r>
        <w:t xml:space="preserve">, a fixed lookup table. Every number in Tables 7, 8, 9 and</w:t>
      </w:r>
      <w:r>
        <w:t xml:space="preserve"> </w:t>
      </w:r>
      <w:r>
        <w:t xml:space="preserve">11 comes from this weighted-CE model. Figure 7 therefore reports the training dynamics of a run</w:t>
      </w:r>
      <w:r>
        <w:t xml:space="preserve"> </w:t>
      </w:r>
      <w:r>
        <w:t xml:space="preserve">that produced none of the paper’s results.</w:t>
      </w:r>
    </w:p>
    <w:p>
      <w:pPr>
        <w:pStyle w:val="BodyText"/>
      </w:pPr>
      <w:r>
        <w:rPr>
          <w:bCs/>
          <w:b/>
        </w:rPr>
        <w:t xml:space="preserve">This must be corrected before submission, and it is not a matter of terminology.</w:t>
      </w:r>
      <w:r>
        <w:t xml:space="preserve"> </w:t>
      </w:r>
      <w:r>
        <w:t xml:space="preserve">A reviewer</w:t>
      </w:r>
      <w:r>
        <w:t xml:space="preserve"> </w:t>
      </w:r>
      <w:r>
        <w:t xml:space="preserve">who checks the repository — and DSEA reviewers increasingly do — will read this as</w:t>
      </w:r>
      <w:r>
        <w:t xml:space="preserve"> </w:t>
      </w:r>
      <w:r>
        <w:t xml:space="preserve">misrepresentation rather than imprecision. The correct description is</w:t>
      </w:r>
      <w:r>
        <w:t xml:space="preserve"> </w:t>
      </w:r>
      <w:r>
        <w:rPr>
          <w:iCs/>
          <w:i/>
        </w:rPr>
        <w:t xml:space="preserve">cost-sensitive supervised</w:t>
      </w:r>
      <w:r>
        <w:rPr>
          <w:iCs/>
          <w:i/>
        </w:rPr>
        <w:t xml:space="preserve"> </w:t>
      </w:r>
      <w:r>
        <w:rPr>
          <w:iCs/>
          <w:i/>
        </w:rPr>
        <w:t xml:space="preserve">classification with a Dueling-DQN network topology</w:t>
      </w:r>
      <w:r>
        <w:t xml:space="preserve">, and the paper is perfectly publishable</w:t>
      </w:r>
      <w:r>
        <w:t xml:space="preserve"> </w:t>
      </w:r>
      <w:r>
        <w:t xml:space="preserve">with that description. The RL framing buys nothing and costs everything.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W2. The decision task is the classification task under a relabeling, which invalidates the</w:t>
      </w:r>
      <w:r>
        <w:rPr>
          <w:bCs/>
          <w:b/>
        </w:rPr>
        <w:t xml:space="preserve"> </w:t>
      </w:r>
      <w:r>
        <w:rPr>
          <w:bCs/>
          <w:b/>
        </w:rPr>
        <w:t xml:space="preserve">paper’s central thesis as currently argued.</w:t>
      </w:r>
    </w:p>
    <w:p>
      <w:pPr>
        <w:pStyle w:val="BodyText"/>
      </w:pPr>
      <w:r>
        <w:t xml:space="preserve">The acceptable-action map is a deterministic function of the ground-truth class:</w:t>
      </w:r>
      <w:r>
        <w:t xml:space="preserve"> </w:t>
      </w:r>
      <w:r>
        <w:t xml:space="preserve">NoGas→{0}, Smoke→{3}, Mixture→{4}, Perfume→{1,2}. Training targets are generated by applying</w:t>
      </w:r>
      <w:r>
        <w:t xml:space="preserve"> </w:t>
      </w:r>
      <w:r>
        <w:t xml:space="preserve">this map to the class label. It follows that: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Decision accuracy</w:t>
      </w:r>
      <w:r>
        <w:t xml:space="preserve">”</w:t>
      </w:r>
      <w:r>
        <w:t xml:space="preserve"> </w:t>
      </w:r>
      <w:r>
        <w:t xml:space="preserve">is 4-class gas classification accuracy composed with a fixed bijection.</w:t>
      </w:r>
      <w:r>
        <w:t xml:space="preserve"> </w:t>
      </w:r>
      <w:r>
        <w:t xml:space="preserve">It is not a different quantity measured on a different task.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rule-oracle</w:t>
      </w:r>
      <w:r>
        <w:t xml:space="preserve">”</w:t>
      </w:r>
      <w:r>
        <w:t xml:space="preserve"> </w:t>
      </w:r>
      <w:r>
        <w:t xml:space="preserve">100.00% in Table 9 is not an empirical result. It is the label function</w:t>
      </w:r>
      <w:r>
        <w:t xml:space="preserve"> </w:t>
      </w:r>
      <w:r>
        <w:t xml:space="preserve">evaluated on itself — an identity. Presenting it in a results table alongside learned models,</w:t>
      </w:r>
      <w:r>
        <w:t xml:space="preserve"> </w:t>
      </w:r>
      <w:r>
        <w:t xml:space="preserve">without saying so, will read to a careful reviewer as either an error or a concealment.</w:t>
      </w:r>
    </w:p>
    <w:p>
      <w:pPr>
        <w:numPr>
          <w:ilvl w:val="0"/>
          <w:numId w:val="1002"/>
        </w:numPr>
        <w:pStyle w:val="Compact"/>
      </w:pPr>
      <w:r>
        <w:t xml:space="preserve">The paper’s headline argument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Safety-action selection is not gas classification</w:t>
      </w:r>
      <w:r>
        <w:rPr>
          <w:iCs/>
          <w:i/>
        </w:rPr>
        <w:t xml:space="preserve">”</w:t>
      </w:r>
      <w:r>
        <w:t xml:space="preserve"> </w:t>
      </w:r>
      <w:r>
        <w:t xml:space="preserve">(Section 5.1) — is contradicted by its own construction, in which the two are the same</w:t>
      </w:r>
      <w:r>
        <w:t xml:space="preserve"> </w:t>
      </w:r>
      <w:r>
        <w:t xml:space="preserve">function. The 94.44% vs. 98.8% gap is not evidence for the thesis; it is the gap between two</w:t>
      </w:r>
      <w:r>
        <w:t xml:space="preserve"> </w:t>
      </w:r>
      <w:r>
        <w:t xml:space="preserve">models solving the same problem on two different modalities, one of which (the sensor model)</w:t>
      </w:r>
      <w:r>
        <w:t xml:space="preserve"> </w:t>
      </w:r>
      <w:r>
        <w:t xml:space="preserve">is weaker.</w:t>
      </w:r>
    </w:p>
    <w:p>
      <w:pPr>
        <w:pStyle w:val="FirstParagraph"/>
      </w:pPr>
      <w:r>
        <w:t xml:space="preserve">There are two honest exits, and the authors must choose one: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(a) Drop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decision problem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framing.</w:t>
      </w:r>
      <w:r>
        <w:t xml:space="preserve"> </w:t>
      </w:r>
      <w:r>
        <w:t xml:space="preserve">Present this as cost-sensitive classification</w:t>
      </w:r>
      <w:r>
        <w:t xml:space="preserve"> </w:t>
      </w:r>
      <w:r>
        <w:t xml:space="preserve">with a safety-relevant evaluation protocol. The paper’s real contribution then becomes the</w:t>
      </w:r>
      <w:r>
        <w:t xml:space="preserve"> </w:t>
      </w:r>
      <w:r>
        <w:rPr>
          <w:iCs/>
          <w:i/>
        </w:rPr>
        <w:t xml:space="preserve">metric set and the LOCO/perturbation protocol</w:t>
      </w:r>
      <w:r>
        <w:t xml:space="preserve">, which is defensible and useful.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(b) Introduce genuine decision structure</w:t>
      </w:r>
      <w:r>
        <w:t xml:space="preserve"> </w:t>
      </w:r>
      <w:r>
        <w:t xml:space="preserve">— a cost of sampling, a delay penalty, an</w:t>
      </w:r>
      <w:r>
        <w:t xml:space="preserve"> </w:t>
      </w:r>
      <w:r>
        <w:t xml:space="preserve">episode-level objective, or an action that changes what is observed next (e.g. </w:t>
      </w:r>
      <w:r>
        <w:rPr>
          <w:iCs/>
          <w:i/>
        </w:rPr>
        <w:t xml:space="preserve">Request</w:t>
      </w:r>
      <w:r>
        <w:rPr>
          <w:iCs/>
          <w:i/>
        </w:rPr>
        <w:t xml:space="preserve"> </w:t>
      </w:r>
      <w:r>
        <w:rPr>
          <w:iCs/>
          <w:i/>
        </w:rPr>
        <w:t xml:space="preserve">Verification</w:t>
      </w:r>
      <w:r>
        <w:t xml:space="preserve"> </w:t>
      </w:r>
      <w:r>
        <w:t xml:space="preserve">actually procuring a second measurement at a cost). Only then is there a</w:t>
      </w:r>
      <w:r>
        <w:t xml:space="preserve"> </w:t>
      </w:r>
      <w:r>
        <w:t xml:space="preserve">decision problem that classification cannot express.</w:t>
      </w:r>
    </w:p>
    <w:p>
      <w:pPr>
        <w:pStyle w:val="FirstParagraph"/>
      </w:pPr>
      <w:r>
        <w:t xml:space="preserve">Option (a) requires no new experiments and is what I would recommend for this submission.</w:t>
      </w:r>
      <w:r>
        <w:t xml:space="preserve"> </w:t>
      </w:r>
      <w:r>
        <w:t xml:space="preserve">Option (b) is a second paper.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Zero danger misses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a weaker claim than the paper presents, because of how a miss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defined.</w:t>
      </w:r>
    </w:p>
    <w:p>
      <w:pPr>
        <w:pStyle w:val="BodyText"/>
      </w:pPr>
      <w:r>
        <w:t xml:space="preserve">Section 4.1 defines a danger miss as a hazardous window assigned action 0 (</w:t>
      </w:r>
      <w:r>
        <w:rPr>
          <w:iCs/>
          <w:i/>
        </w:rPr>
        <w:t xml:space="preserve">Monitor</w:t>
      </w:r>
      <w:r>
        <w:t xml:space="preserve">) — and</w:t>
      </w:r>
      <w:r>
        <w:t xml:space="preserve"> </w:t>
      </w:r>
      <w:r>
        <w:t xml:space="preserve">only action 0. Consequently:</w:t>
      </w:r>
    </w:p>
    <w:p>
      <w:pPr>
        <w:numPr>
          <w:ilvl w:val="0"/>
          <w:numId w:val="1004"/>
        </w:numPr>
        <w:pStyle w:val="Compact"/>
      </w:pPr>
      <w:r>
        <w:t xml:space="preserve">Answering a Smoke window with</w:t>
      </w:r>
      <w:r>
        <w:t xml:space="preserve"> </w:t>
      </w:r>
      <w:r>
        <w:rPr>
          <w:iCs/>
          <w:i/>
        </w:rPr>
        <w:t xml:space="preserve">Emergency Shutdown</w:t>
      </w:r>
      <w:r>
        <w:t xml:space="preserve">, or a Mixture window with</w:t>
      </w:r>
      <w:r>
        <w:t xml:space="preserve"> </w:t>
      </w:r>
      <w:r>
        <w:rPr>
          <w:iCs/>
          <w:i/>
        </w:rPr>
        <w:t xml:space="preserve">Raise Alarm</w:t>
      </w:r>
      <w:r>
        <w:t xml:space="preserve">,</w:t>
      </w:r>
      <w:r>
        <w:t xml:space="preserve"> </w:t>
      </w:r>
      <w:r>
        <w:t xml:space="preserve">is scored as no miss. Correct.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Answering a Mixture window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Increase Sampling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Request Verification</w:t>
      </w:r>
      <w:r>
        <w:rPr>
          <w:bCs/>
          <w:b/>
        </w:rPr>
        <w:t xml:space="preserve"> </w:t>
      </w:r>
      <w:r>
        <w:rPr>
          <w:bCs/>
          <w:b/>
        </w:rPr>
        <w:t xml:space="preserve">is also scored</w:t>
      </w:r>
      <w:r>
        <w:rPr>
          <w:bCs/>
          <w:b/>
        </w:rPr>
        <w:t xml:space="preserve"> </w:t>
      </w:r>
      <w:r>
        <w:rPr>
          <w:bCs/>
          <w:b/>
        </w:rPr>
        <w:t xml:space="preserve">as no miss.</w:t>
      </w:r>
      <w:r>
        <w:t xml:space="preserve"> </w:t>
      </w:r>
      <w:r>
        <w:t xml:space="preserve">A sub-alarm response to the most hazardous class is invisible to the headline</w:t>
      </w:r>
      <w:r>
        <w:t xml:space="preserve"> </w:t>
      </w:r>
      <w:r>
        <w:t xml:space="preserve">safety metric.</w:t>
      </w:r>
    </w:p>
    <w:p>
      <w:pPr>
        <w:pStyle w:val="FirstParagraph"/>
      </w:pPr>
      <w:r>
        <w:t xml:space="preserve">This is not hypothetical. In the authors’ own</w:t>
      </w:r>
      <w:r>
        <w:t xml:space="preserve"> </w:t>
      </w:r>
      <w:r>
        <w:rPr>
          <w:rStyle w:val="VerbatimChar"/>
        </w:rPr>
        <w:t xml:space="preserve">retrain/results/exp3_loco.csv</w:t>
      </w:r>
      <w:r>
        <w:t xml:space="preserve">, for held-out</w:t>
      </w:r>
      <w:r>
        <w:t xml:space="preserve"> </w:t>
      </w:r>
      <w:r>
        <w:t xml:space="preserve">Mixture: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Danger-miss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Escalation rate to action ≥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Agent (ARXIS)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0.298 ± 0.086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 DQN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0.249 ± 0.123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0.289 ± 0.142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 ± 0.000</w:t>
            </w:r>
          </w:p>
        </w:tc>
      </w:tr>
    </w:tbl>
    <w:p>
      <w:pPr>
        <w:pStyle w:val="BodyText"/>
      </w:pPr>
      <w:r>
        <w:t xml:space="preserve">So on the unseen Mixture class, roughly</w:t>
      </w:r>
      <w:r>
        <w:t xml:space="preserve"> </w:t>
      </w:r>
      <w:r>
        <w:rPr>
          <w:bCs/>
          <w:b/>
        </w:rPr>
        <w:t xml:space="preserve">70% of hazardous windows received a sub-alarm</w:t>
      </w:r>
      <w:r>
        <w:rPr>
          <w:bCs/>
          <w:b/>
        </w:rPr>
        <w:t xml:space="preserve"> </w:t>
      </w:r>
      <w:r>
        <w:rPr>
          <w:bCs/>
          <w:b/>
        </w:rPr>
        <w:t xml:space="preserve">response</w:t>
      </w:r>
      <w:r>
        <w:t xml:space="preserve"> </w:t>
      </w:r>
      <w:r>
        <w:t xml:space="preserve">from ARXIS — and a gradient-boosting baseline escalated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of them. The</w:t>
      </w:r>
      <w:r>
        <w:t xml:space="preserve"> </w:t>
      </w:r>
      <w:r>
        <w:t xml:space="preserve">escalation column exists in the authors’ result file. It does not appear in the manuscript.</w:t>
      </w:r>
      <w:r>
        <w:t xml:space="preserve"> </w:t>
      </w:r>
      <w:r>
        <w:t xml:space="preserve">Table 8 reports only the miss column, which is the column on which this failure is invisible.</w:t>
      </w:r>
    </w:p>
    <w:p>
      <w:pPr>
        <w:pStyle w:val="BodyText"/>
      </w:pPr>
      <w:r>
        <w:t xml:space="preserve">I want to be direct about how this looks. The manuscript’s Section 5.3 asserts that</w:t>
      </w:r>
      <w:r>
        <w:t xml:space="preserve"> </w:t>
      </w:r>
      <w:r>
        <w:t xml:space="preserve">“</w:t>
      </w:r>
      <w:r>
        <w:t xml:space="preserve">ARXIS</w:t>
      </w:r>
      <w:r>
        <w:t xml:space="preserve"> </w:t>
      </w:r>
      <w:r>
        <w:t xml:space="preserve">uniquely preserves zero danger misses under distribution shift.</w:t>
      </w:r>
      <w:r>
        <w:t xml:space="preserve">”</w:t>
      </w:r>
      <w:r>
        <w:t xml:space="preserve"> </w:t>
      </w:r>
      <w:r>
        <w:t xml:space="preserve">The authors’ own data show a</w:t>
      </w:r>
      <w:r>
        <w:t xml:space="preserve"> </w:t>
      </w:r>
      <w:r>
        <w:t xml:space="preserve">plain GBM outperforming ARXIS by a factor of 3.4 on the operationally meaningful quantity for</w:t>
      </w:r>
      <w:r>
        <w:t xml:space="preserve"> </w:t>
      </w:r>
      <w:r>
        <w:t xml:space="preserve">the same experiment, in a column that was omitted. Whether or not this was deliberate, a</w:t>
      </w:r>
      <w:r>
        <w:t xml:space="preserve"> </w:t>
      </w:r>
      <w:r>
        <w:t xml:space="preserve">reviewer with repository access will not give the benefit of the doubt.</w:t>
      </w:r>
      <w:r>
        <w:t xml:space="preserve"> </w:t>
      </w:r>
      <w:r>
        <w:rPr>
          <w:bCs/>
          <w:b/>
        </w:rPr>
        <w:t xml:space="preserve">Report the escalation</w:t>
      </w:r>
      <w:r>
        <w:rPr>
          <w:bCs/>
          <w:b/>
        </w:rPr>
        <w:t xml:space="preserve"> </w:t>
      </w:r>
      <w:r>
        <w:rPr>
          <w:bCs/>
          <w:b/>
        </w:rPr>
        <w:t xml:space="preserve">column. It is a better paper with it in</w:t>
      </w:r>
      <w:r>
        <w:t xml:space="preserve">, because</w:t>
      </w:r>
      <w:r>
        <w:t xml:space="preserve"> </w:t>
      </w:r>
      <w:r>
        <w:t xml:space="preserve">“</w:t>
      </w:r>
      <w:r>
        <w:t xml:space="preserve">the metric you choose determines which model</w:t>
      </w:r>
      <w:r>
        <w:t xml:space="preserve"> </w:t>
      </w:r>
      <w:r>
        <w:t xml:space="preserve">looks safe</w:t>
      </w:r>
      <w:r>
        <w:t xml:space="preserve">”</w:t>
      </w:r>
      <w:r>
        <w:t xml:space="preserve"> </w:t>
      </w:r>
      <w:r>
        <w:t xml:space="preserve">is a far sharper finding than</w:t>
      </w:r>
      <w:r>
        <w:t xml:space="preserve"> </w:t>
      </w:r>
      <w:r>
        <w:t xml:space="preserve">“</w:t>
      </w:r>
      <w:r>
        <w:t xml:space="preserve">our model is safe.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W4. The statistical claim in the Abstract, Section 4.5 and Section 7 is vacuous by</w:t>
      </w:r>
      <w:r>
        <w:rPr>
          <w:bCs/>
          <w:b/>
        </w:rPr>
        <w:t xml:space="preserve"> </w:t>
      </w:r>
      <w:r>
        <w:rPr>
          <w:bCs/>
          <w:b/>
        </w:rPr>
        <w:t xml:space="preserve">construction.</w:t>
      </w:r>
    </w:p>
    <w:p>
      <w:pPr>
        <w:pStyle w:val="BodyText"/>
      </w:pPr>
      <w:r>
        <w:t xml:space="preserve">The claim: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baseline significantly outperforms ARXIS at α = 0.05.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With n = 5 paired seeds, the two-sided Wilcoxon signed-rank test has a minimum attainable</w:t>
      </w:r>
      <w:r>
        <w:t xml:space="preserve"> </w:t>
      </w:r>
      <w:r>
        <w:t xml:space="preserve">p-value of 2^(1−n) =</w:t>
      </w:r>
      <w:r>
        <w:t xml:space="preserve"> </w:t>
      </w:r>
      <w:r>
        <w:rPr>
          <w:bCs/>
          <w:b/>
        </w:rPr>
        <w:t xml:space="preserve">0.0625</w:t>
      </w:r>
      <w:r>
        <w:t xml:space="preserve">. No comparison in this design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reach α = 0.05, whatever</w:t>
      </w:r>
      <w:r>
        <w:t xml:space="preserve"> </w:t>
      </w:r>
      <w:r>
        <w:t xml:space="preserve">the effect size. The stated result was guaranteed by the sample size before any model was</w:t>
      </w:r>
      <w:r>
        <w:t xml:space="preserve"> </w:t>
      </w:r>
      <w:r>
        <w:t xml:space="preserve">trained. The authors’</w:t>
      </w:r>
      <w:r>
        <w:t xml:space="preserve"> </w:t>
      </w:r>
      <w:r>
        <w:rPr>
          <w:rStyle w:val="VerbatimChar"/>
        </w:rPr>
        <w:t xml:space="preserve">expzoo_significance.json</w:t>
      </w:r>
      <w:r>
        <w:t xml:space="preserve"> </w:t>
      </w:r>
      <w:r>
        <w:t xml:space="preserve">confirms it: the smallest observed p is</w:t>
      </w:r>
      <w:r>
        <w:t xml:space="preserve"> </w:t>
      </w:r>
      <w:r>
        <w:t xml:space="preserve">0.1875 (Random Forest).</w:t>
      </w:r>
    </w:p>
    <w:p>
      <w:pPr>
        <w:pStyle w:val="BodyText"/>
      </w:pPr>
      <w:r>
        <w:t xml:space="preserve">Two further problems compound it:</w:t>
      </w:r>
    </w:p>
    <w:p>
      <w:pPr>
        <w:numPr>
          <w:ilvl w:val="0"/>
          <w:numId w:val="1005"/>
        </w:numPr>
        <w:pStyle w:val="Compact"/>
      </w:pPr>
      <w:r>
        <w:t xml:space="preserve">Random Forest has the</w:t>
      </w:r>
      <w:r>
        <w:t xml:space="preserve"> </w:t>
      </w:r>
      <w:r>
        <w:rPr>
          <w:bCs/>
          <w:b/>
        </w:rPr>
        <w:t xml:space="preserve">highest</w:t>
      </w:r>
      <w:r>
        <w:t xml:space="preserve"> </w:t>
      </w:r>
      <w:r>
        <w:t xml:space="preserve">point accuracy in Table 7 (0.9769 ± 0.0086 vs. ARXIS</w:t>
      </w:r>
      <w:r>
        <w:t xml:space="preserve"> </w:t>
      </w:r>
      <w:r>
        <w:t xml:space="preserve">0.9633 ± 0.0215), with lower variance. Framing</w:t>
      </w:r>
      <w:r>
        <w:t xml:space="preserve"> </w:t>
      </w:r>
      <w:r>
        <w:t xml:space="preserve">“</w:t>
      </w:r>
      <w:r>
        <w:t xml:space="preserve">not significantly worse than a model that</w:t>
      </w:r>
      <w:r>
        <w:t xml:space="preserve"> </w:t>
      </w:r>
      <w:r>
        <w:t xml:space="preserve">beat us</w:t>
      </w:r>
      <w:r>
        <w:t xml:space="preserve">”</w:t>
      </w:r>
      <w:r>
        <w:t xml:space="preserve"> </w:t>
      </w:r>
      <w:r>
        <w:t xml:space="preserve">as a positive result is not sustainable.</w:t>
      </w:r>
    </w:p>
    <w:p>
      <w:pPr>
        <w:numPr>
          <w:ilvl w:val="0"/>
          <w:numId w:val="1005"/>
        </w:numPr>
        <w:pStyle w:val="Compact"/>
      </w:pPr>
      <w:r>
        <w:t xml:space="preserve">Per the prior internal audit, the block-wise split is generated once without a seed, so the</w:t>
      </w:r>
      <w:r>
        <w:t xml:space="preserve"> </w:t>
      </w:r>
      <w:r>
        <w:t xml:space="preserve">five</w:t>
      </w:r>
      <w:r>
        <w:t xml:space="preserve"> </w:t>
      </w:r>
      <w:r>
        <w:t xml:space="preserve">“</w:t>
      </w:r>
      <w:r>
        <w:t xml:space="preserve">seeds</w:t>
      </w:r>
      <w:r>
        <w:t xml:space="preserve">”</w:t>
      </w:r>
      <w:r>
        <w:t xml:space="preserve"> </w:t>
      </w:r>
      <w:r>
        <w:t xml:space="preserve">share one fixed partition. The reported ± therefore captures initialization</w:t>
      </w:r>
      <w:r>
        <w:t xml:space="preserve"> </w:t>
      </w:r>
      <w:r>
        <w:t xml:space="preserve">variance only and</w:t>
      </w:r>
      <w:r>
        <w:t xml:space="preserve"> </w:t>
      </w:r>
      <w:r>
        <w:rPr>
          <w:bCs/>
          <w:b/>
        </w:rPr>
        <w:t xml:space="preserve">excludes data-partition variance</w:t>
      </w:r>
      <w:r>
        <w:t xml:space="preserve">, which is the dominant source in</w:t>
      </w:r>
      <w:r>
        <w:t xml:space="preserve"> </w:t>
      </w:r>
      <w:r>
        <w:t xml:space="preserve">small-sample ML comparison (Bouthillier et al. 2021).</w:t>
      </w:r>
    </w:p>
    <w:p>
      <w:pPr>
        <w:pStyle w:val="FirstParagraph"/>
      </w:pPr>
      <w:r>
        <w:rPr>
          <w:bCs/>
          <w:b/>
        </w:rPr>
        <w:t xml:space="preserve">Required fix.</w:t>
      </w:r>
      <w:r>
        <w:t xml:space="preserve"> </w:t>
      </w:r>
      <w:r>
        <w:t xml:space="preserve">Delete the significance claim. Replace it with one of:</w:t>
      </w:r>
    </w:p>
    <w:p>
      <w:pPr>
        <w:numPr>
          <w:ilvl w:val="0"/>
          <w:numId w:val="1006"/>
        </w:numPr>
        <w:pStyle w:val="Compact"/>
      </w:pPr>
      <w:r>
        <w:t xml:space="preserve">an explicit statement that the design is underpowered and that no ranking is asserted; or</w:t>
      </w:r>
    </w:p>
    <w:p>
      <w:pPr>
        <w:numPr>
          <w:ilvl w:val="0"/>
          <w:numId w:val="1006"/>
        </w:numPr>
        <w:pStyle w:val="Compact"/>
      </w:pPr>
      <w:r>
        <w:t xml:space="preserve">an</w:t>
      </w:r>
      <w:r>
        <w:t xml:space="preserve"> </w:t>
      </w:r>
      <w:r>
        <w:rPr>
          <w:iCs/>
          <w:i/>
        </w:rPr>
        <w:t xml:space="preserve">equivalence</w:t>
      </w:r>
      <w:r>
        <w:t xml:space="preserve"> </w:t>
      </w:r>
      <w:r>
        <w:t xml:space="preserve">analysis — a Bayesian correlated t-test with a region of practical</w:t>
      </w:r>
      <w:r>
        <w:t xml:space="preserve"> </w:t>
      </w:r>
      <w:r>
        <w:t xml:space="preserve">equivalence (Benavoli et al. 2017) — which lets the authors write the far stronger and more</w:t>
      </w:r>
      <w:r>
        <w:t xml:space="preserve"> </w:t>
      </w:r>
      <w:r>
        <w:t xml:space="preserve">honest sentence: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cost-weighted policy and the simplest classical baselines are</w:t>
      </w:r>
      <w:r>
        <w:rPr>
          <w:iCs/>
          <w:i/>
        </w:rPr>
        <w:t xml:space="preserve"> </w:t>
      </w:r>
      <w:r>
        <w:rPr>
          <w:iCs/>
          <w:i/>
        </w:rPr>
        <w:t xml:space="preserve">practically equivalent on this benchmark, with posterior probability p.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Demonstrated equivalence on a saturated benchmark is an interesting result. A manufactured win</w:t>
      </w:r>
      <w:r>
        <w:t xml:space="preserve"> </w:t>
      </w:r>
      <w:r>
        <w:t xml:space="preserve">is not.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W5. The anomaly-detection evaluation appears to be in-sample.</w:t>
      </w:r>
    </w:p>
    <w:p>
      <w:pPr>
        <w:pStyle w:val="BodyText"/>
      </w:pPr>
      <w:r>
        <w:t xml:space="preserve">Table 5 reports TN/FP = 1,501/79 on 1,580 normal windows. That is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5.000% FPR. The</w:t>
      </w:r>
      <w:r>
        <w:t xml:space="preserve"> </w:t>
      </w:r>
      <w:r>
        <w:t xml:space="preserve">threshold τ is stated (Section 3.3) to be the 95th percentile of reconstruction error on the</w:t>
      </w:r>
      <w:r>
        <w:t xml:space="preserve"> </w:t>
      </w:r>
      <w:r>
        <w:t xml:space="preserve">NoGas</w:t>
      </w:r>
      <w:r>
        <w:t xml:space="preserve"> </w:t>
      </w:r>
      <w:r>
        <w:rPr>
          <w:iCs/>
          <w:i/>
        </w:rPr>
        <w:t xml:space="preserve">training</w:t>
      </w:r>
      <w:r>
        <w:t xml:space="preserve"> </w:t>
      </w:r>
      <w:r>
        <w:t xml:space="preserve">partition. If the threshold were fitted on the training partition (~1,264</w:t>
      </w:r>
      <w:r>
        <w:t xml:space="preserve"> </w:t>
      </w:r>
      <w:r>
        <w:t xml:space="preserve">windows) and evaluated on all 1,580, an exact 5.000% would be a coincidence at long odds. The</w:t>
      </w:r>
      <w:r>
        <w:t xml:space="preserve"> </w:t>
      </w:r>
      <w:r>
        <w:t xml:space="preserve">arithmetic is consistent instead with τ being the 95th percentile of the same 1,580 windows on</w:t>
      </w:r>
      <w:r>
        <w:t xml:space="preserve"> </w:t>
      </w:r>
      <w:r>
        <w:t xml:space="preserve">which FPR is reported. The ROC-AUC of 0.963 is likewise computed over all 6,380 windows,</w:t>
      </w:r>
      <w:r>
        <w:t xml:space="preserve"> </w:t>
      </w:r>
      <w:r>
        <w:t xml:space="preserve">including the windows the autoencoder was trained on.</w:t>
      </w:r>
    </w:p>
    <w:p>
      <w:pPr>
        <w:pStyle w:val="BodyText"/>
      </w:pPr>
      <w:r>
        <w:t xml:space="preserve">Either the text mis-describes the procedure or the evaluation is in-sample.</w:t>
      </w:r>
      <w:r>
        <w:t xml:space="preserve"> </w:t>
      </w:r>
      <w:r>
        <w:rPr>
          <w:bCs/>
          <w:b/>
        </w:rPr>
        <w:t xml:space="preserve">Both readings</w:t>
      </w:r>
      <w:r>
        <w:rPr>
          <w:bCs/>
          <w:b/>
        </w:rPr>
        <w:t xml:space="preserve"> </w:t>
      </w:r>
      <w:r>
        <w:rPr>
          <w:bCs/>
          <w:b/>
        </w:rPr>
        <w:t xml:space="preserve">require action.</w:t>
      </w:r>
      <w:r>
        <w:t xml:space="preserve"> </w:t>
      </w:r>
      <w:r>
        <w:t xml:space="preserve">Report AUC, TPR and FPR on held-out NoGas windows only, with τ fitted on a</w:t>
      </w:r>
      <w:r>
        <w:t xml:space="preserve"> </w:t>
      </w:r>
      <w:r>
        <w:t xml:space="preserve">disjoint calibration split.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W6. The Perception Agent’s split is not leakage-controlled, and the manuscript asserts the</w:t>
      </w:r>
      <w:r>
        <w:rPr>
          <w:bCs/>
          <w:b/>
        </w:rPr>
        <w:t xml:space="preserve"> </w:t>
      </w:r>
      <w:r>
        <w:rPr>
          <w:bCs/>
          <w:b/>
        </w:rPr>
        <w:t xml:space="preserve">opposite without argument.</w:t>
      </w:r>
    </w:p>
    <w:p>
      <w:pPr>
        <w:pStyle w:val="BodyText"/>
      </w:pPr>
      <w:r>
        <w:t xml:space="preserve">Section 3.3: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image-level split is separate from the sensor-window split described in</w:t>
      </w:r>
      <w:r>
        <w:rPr>
          <w:iCs/>
          <w:i/>
        </w:rPr>
        <w:t xml:space="preserve"> </w:t>
      </w:r>
      <w:r>
        <w:rPr>
          <w:iCs/>
          <w:i/>
        </w:rPr>
        <w:t xml:space="preserve">Section 3.1 and does not create the same temporal leakage risk.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No evidence is offered. The thermal frames are consecutive captures from the same ~90-minute</w:t>
      </w:r>
      <w:r>
        <w:t xml:space="preserve"> </w:t>
      </w:r>
      <w:r>
        <w:t xml:space="preserve">session as the sensor rows. Adjacent frames are near-duplicates. A stratified</w:t>
      </w:r>
      <w:r>
        <w:t xml:space="preserve"> </w:t>
      </w:r>
      <w:r>
        <w:rPr>
          <w:iCs/>
          <w:i/>
        </w:rPr>
        <w:t xml:space="preserve">random</w:t>
      </w:r>
      <w:r>
        <w:t xml:space="preserve"> </w:t>
      </w:r>
      <w:r>
        <w:t xml:space="preserve">80/20</w:t>
      </w:r>
      <w:r>
        <w:t xml:space="preserve"> </w:t>
      </w:r>
      <w:r>
        <w:t xml:space="preserve">split over such frames places near-identical images in train and test — precisely the failure</w:t>
      </w:r>
      <w:r>
        <w:t xml:space="preserve"> </w:t>
      </w:r>
      <w:r>
        <w:t xml:space="preserve">mode the authors go to trouble to avoid on the sensor side, in the same subsection. 98.8% top-1</w:t>
      </w:r>
      <w:r>
        <w:t xml:space="preserve"> </w:t>
      </w:r>
      <w:r>
        <w:t xml:space="preserve">should be read as an upper bound on an optimistic protocol, not a performance estimate.</w:t>
      </w:r>
    </w:p>
    <w:p>
      <w:pPr>
        <w:pStyle w:val="BodyText"/>
      </w:pPr>
      <w:r>
        <w:t xml:space="preserve">The internal inconsistency is the damaging part: a reviewer will ask why leakage was worth 20</w:t>
      </w:r>
      <w:r>
        <w:t xml:space="preserve"> </w:t>
      </w:r>
      <w:r>
        <w:t xml:space="preserve">windows of embargo on one modality and worth nothing on the other.</w:t>
      </w:r>
      <w:r>
        <w:t xml:space="preserve"> </w:t>
      </w:r>
      <w:r>
        <w:rPr>
          <w:bCs/>
          <w:b/>
        </w:rPr>
        <w:t xml:space="preserve">Re-split the images</w:t>
      </w:r>
      <w:r>
        <w:rPr>
          <w:bCs/>
          <w:b/>
        </w:rPr>
        <w:t xml:space="preserve"> </w:t>
      </w:r>
      <w:r>
        <w:rPr>
          <w:bCs/>
          <w:b/>
        </w:rPr>
        <w:t xml:space="preserve">block-wise and re-report.</w:t>
      </w:r>
      <w:r>
        <w:t xml:space="preserve"> </w:t>
      </w:r>
      <w:r>
        <w:t xml:space="preserve">If accuracy falls, that is itself a publishable observation, and it</w:t>
      </w:r>
      <w:r>
        <w:t xml:space="preserve"> </w:t>
      </w:r>
      <w:r>
        <w:t xml:space="preserve">strengthens rather than weakens the paper’s own argument about evaluation protocol.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W7. The Discussion cites results that are not in the paper; the paper omits experiments that</w:t>
      </w:r>
      <w:r>
        <w:rPr>
          <w:bCs/>
          <w:b/>
        </w:rPr>
        <w:t xml:space="preserve"> </w:t>
      </w:r>
      <w:r>
        <w:rPr>
          <w:bCs/>
          <w:b/>
        </w:rPr>
        <w:t xml:space="preserve">were run.</w:t>
      </w:r>
    </w:p>
    <w:p>
      <w:pPr>
        <w:numPr>
          <w:ilvl w:val="0"/>
          <w:numId w:val="1007"/>
        </w:numPr>
        <w:pStyle w:val="Compact"/>
      </w:pPr>
      <w:r>
        <w:t xml:space="preserve">Section 5.1 reports a</w:t>
      </w:r>
      <w:r>
        <w:t xml:space="preserve"> </w:t>
      </w:r>
      <w:r>
        <w:rPr>
          <w:bCs/>
          <w:b/>
        </w:rPr>
        <w:t xml:space="preserve">decision-state ablation</w:t>
      </w:r>
      <w:r>
        <w:t xml:space="preserve"> </w:t>
      </w:r>
      <w:r>
        <w:t xml:space="preserve">(anomaly score −2.75 pp; temporal</w:t>
      </w:r>
      <w:r>
        <w:t xml:space="preserve"> </w:t>
      </w:r>
      <w:r>
        <w:t xml:space="preserve">change/σ features −10.27 pp). No ablation appears in Section 4, no table, no figure, no</w:t>
      </w:r>
      <w:r>
        <w:t xml:space="preserve"> </w:t>
      </w:r>
      <w:r>
        <w:t xml:space="preserve">method. A reviewer cannot check it. Either add the experiment to Results or delete the claim.</w:t>
      </w:r>
    </w:p>
    <w:p>
      <w:pPr>
        <w:numPr>
          <w:ilvl w:val="0"/>
          <w:numId w:val="1007"/>
        </w:numPr>
        <w:pStyle w:val="Compact"/>
      </w:pPr>
      <w:r>
        <w:t xml:space="preserve">Section 5.2 reports an intermediate latency of</w:t>
      </w:r>
      <w:r>
        <w:t xml:space="preserve"> </w:t>
      </w:r>
      <w:r>
        <w:rPr>
          <w:bCs/>
          <w:b/>
        </w:rPr>
        <w:t xml:space="preserve">503 ms</w:t>
      </w:r>
      <w:r>
        <w:t xml:space="preserve"> </w:t>
      </w:r>
      <w:r>
        <w:t xml:space="preserve">(float32, asynchronous). Table 11</w:t>
      </w:r>
      <w:r>
        <w:t xml:space="preserve"> </w:t>
      </w:r>
      <w:r>
        <w:t xml:space="preserve">contains no such row. Add the configuration to Table 11 or remove the number.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retrain/results/exp1_pareto.csv</w:t>
      </w:r>
      <w:r>
        <w:t xml:space="preserve"> </w:t>
      </w:r>
      <w:r>
        <w:t xml:space="preserve">contains a</w:t>
      </w:r>
      <w:r>
        <w:t xml:space="preserve"> </w:t>
      </w:r>
      <w:r>
        <w:rPr>
          <w:bCs/>
          <w:b/>
        </w:rPr>
        <w:t xml:space="preserve">cost-ratio sweep</w:t>
      </w:r>
      <w:r>
        <w:t xml:space="preserve"> </w:t>
      </w:r>
      <w:r>
        <w:t xml:space="preserve">(1:1 through 20:1) that</w:t>
      </w:r>
      <w:r>
        <w:t xml:space="preserve"> </w:t>
      </w:r>
      <w:r>
        <w:t xml:space="preserve">never appears in the manuscript. This is a serious omission, because of what it shows —</w:t>
      </w:r>
      <w:r>
        <w:t xml:space="preserve"> </w:t>
      </w:r>
      <w:r>
        <w:t xml:space="preserve">see W8.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retrain/results/exp2_boundary.csv</w:t>
      </w:r>
      <w:r>
        <w:t xml:space="preserve"> </w:t>
      </w:r>
      <w:r>
        <w:t xml:space="preserve">contains a decision-boundary stress test, also absent.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W8. The paper’s second stated contribution — the asymmetric safety reward — has no</w:t>
      </w:r>
      <w:r>
        <w:rPr>
          <w:bCs/>
          <w:b/>
        </w:rPr>
        <w:t xml:space="preserve"> </w:t>
      </w:r>
      <w:r>
        <w:rPr>
          <w:bCs/>
          <w:b/>
        </w:rPr>
        <w:t xml:space="preserve">demonstrated effect, and the authors’ own data show this.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exp1_pareto.csv</w:t>
      </w:r>
      <w:r>
        <w:t xml:space="preserve">, danger-miss rate across the full cost-ratio sweep: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Danger-miss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0.840</w:t>
            </w:r>
          </w:p>
        </w:tc>
      </w:tr>
    </w:tbl>
    <w:p>
      <w:pPr>
        <w:pStyle w:val="BodyText"/>
      </w:pPr>
      <w:r>
        <w:t xml:space="preserve">The miss rate is zero at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ratio, including the symmetric 1:1 baseline. The asymmetry</w:t>
      </w:r>
      <w:r>
        <w:t xml:space="preserve"> </w:t>
      </w:r>
      <w:r>
        <w:t xml:space="preserve">therefore buys no measured safety benefit on this benchmark; above 6:1 it costs accuracy, and</w:t>
      </w:r>
      <w:r>
        <w:t xml:space="preserve"> </w:t>
      </w:r>
      <w:r>
        <w:t xml:space="preserve">at 20:1 it costs 12 accuracy points. The deployed configuration is 8:1, which is not the</w:t>
      </w:r>
      <w:r>
        <w:t xml:space="preserve"> </w:t>
      </w:r>
      <w:r>
        <w:t xml:space="preserve">accuracy optimum (6:1 is) and was selected on test-set variance — a selection criterion that</w:t>
      </w:r>
      <w:r>
        <w:t xml:space="preserve"> </w:t>
      </w:r>
      <w:r>
        <w:t xml:space="preserve">will not survive review.</w:t>
      </w:r>
    </w:p>
    <w:p>
      <w:pPr>
        <w:pStyle w:val="BodyText"/>
      </w:pPr>
      <w:r>
        <w:t xml:space="preserve">This is a legitimate negative result and the paper is stronger for stating it:</w:t>
      </w:r>
      <w:r>
        <w:t xml:space="preserve"> </w:t>
      </w:r>
      <w:r>
        <w:rPr>
          <w:iCs/>
          <w:i/>
        </w:rPr>
        <w:t xml:space="preserve">on a benchmark</w:t>
      </w:r>
      <w:r>
        <w:rPr>
          <w:iCs/>
          <w:i/>
        </w:rPr>
        <w:t xml:space="preserve"> </w:t>
      </w:r>
      <w:r>
        <w:rPr>
          <w:iCs/>
          <w:i/>
        </w:rPr>
        <w:t xml:space="preserve">this separable, cost asymmetry is not the mechanism that produces safe behaviour.</w:t>
      </w:r>
      <w:r>
        <w:t xml:space="preserve"> </w:t>
      </w:r>
      <w:r>
        <w:t xml:space="preserve">Claiming a</w:t>
      </w:r>
      <w:r>
        <w:t xml:space="preserve"> </w:t>
      </w:r>
      <w:r>
        <w:t xml:space="preserve">contribution the data does not support is the worse option by a wide margin.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W9. Fit to SPE Journal — Data Science and Engineering Analytics.</w:t>
      </w:r>
    </w:p>
    <w:p>
      <w:pPr>
        <w:pStyle w:val="BodyText"/>
      </w:pPr>
      <w:r>
        <w:t xml:space="preserve">This is a positioning problem, and for this venue it may matter as much as W1–W4.</w:t>
      </w:r>
    </w:p>
    <w:p>
      <w:pPr>
        <w:pStyle w:val="BodyText"/>
      </w:pPr>
      <w:r>
        <w:t xml:space="preserve">SPE Journal’s scope is</w:t>
      </w:r>
      <w:r>
        <w:t xml:space="preserve"> </w:t>
      </w:r>
      <w:r>
        <w:t xml:space="preserve">“</w:t>
      </w:r>
      <w:r>
        <w:t xml:space="preserve">fundamental research and practical aspects of subsurface energy</w:t>
      </w:r>
      <w:r>
        <w:t xml:space="preserve"> </w:t>
      </w:r>
      <w:r>
        <w:t xml:space="preserve">resources.</w:t>
      </w:r>
      <w:r>
        <w:t xml:space="preserve">”</w:t>
      </w:r>
      <w:r>
        <w:t xml:space="preserve"> </w:t>
      </w:r>
      <w:r>
        <w:t xml:space="preserve">DSEA reviewers ask a single load-bearing question of every AI submission:</w:t>
      </w:r>
      <w:r>
        <w:t xml:space="preserve"> </w:t>
      </w:r>
      <w:r>
        <w:rPr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iCs/>
          <w:i/>
        </w:rPr>
        <w:t xml:space="preserve">does this change about how an operator designs, monitors or runs an asset?</w:t>
      </w:r>
      <w:r>
        <w:t xml:space="preserve"> </w:t>
      </w:r>
      <w:r>
        <w:t xml:space="preserve">The manuscript as</w:t>
      </w:r>
      <w:r>
        <w:t xml:space="preserve"> </w:t>
      </w:r>
      <w:r>
        <w:t xml:space="preserve">written is a benchmark study on a laboratory dataset whose four classes are</w:t>
      </w:r>
      <w:r>
        <w:t xml:space="preserve"> </w:t>
      </w:r>
      <w:r>
        <w:rPr>
          <w:bCs/>
          <w:b/>
        </w:rPr>
        <w:t xml:space="preserve">clean air,</w:t>
      </w:r>
      <w:r>
        <w:rPr>
          <w:bCs/>
          <w:b/>
        </w:rPr>
        <w:t xml:space="preserve"> </w:t>
      </w:r>
      <w:r>
        <w:rPr>
          <w:bCs/>
          <w:b/>
        </w:rPr>
        <w:t xml:space="preserve">incense smoke, alcohol-based deodorant vapour, and their mixture</w:t>
      </w:r>
      <w:r>
        <w:t xml:space="preserve">. There is no hydrocarbon, no</w:t>
      </w:r>
      <w:r>
        <w:t xml:space="preserve"> </w:t>
      </w:r>
      <w:r>
        <w:t xml:space="preserve">methane, no wellsite, no facility, no pipeline, and no operational decision that changes as a</w:t>
      </w:r>
      <w:r>
        <w:t xml:space="preserve"> </w:t>
      </w:r>
      <w:r>
        <w:t xml:space="preserve">result of the work.</w:t>
      </w:r>
    </w:p>
    <w:p>
      <w:pPr>
        <w:pStyle w:val="BodyText"/>
      </w:pPr>
      <w:r>
        <w:t xml:space="preserve">Three specific exposures: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The dataset contains no petroleum-relevant analyte.</w:t>
      </w:r>
      <w:r>
        <w:t xml:space="preserve"> </w:t>
      </w:r>
      <w:r>
        <w:t xml:space="preserve">The manuscript never states this.</w:t>
      </w:r>
      <w:r>
        <w:t xml:space="preserve"> </w:t>
      </w:r>
      <w:r>
        <w:t xml:space="preserve">Section 6 lists dataset limitations (wind, ageing, drift) but does not say that the gases</w:t>
      </w:r>
      <w:r>
        <w:t xml:space="preserve"> </w:t>
      </w:r>
      <w:r>
        <w:t xml:space="preserve">themselves are surrogates. A reviewer who looks up Narkhede et al. (2022) will find perfume</w:t>
      </w:r>
      <w:r>
        <w:t xml:space="preserve"> </w:t>
      </w:r>
      <w:r>
        <w:t xml:space="preserve">and incense sticks, and will be considerably less charitable for having discovered it rather</w:t>
      </w:r>
      <w:r>
        <w:t xml:space="preserve"> </w:t>
      </w:r>
      <w:r>
        <w:t xml:space="preserve">than been told.</w:t>
      </w:r>
      <w:r>
        <w:t xml:space="preserve"> </w:t>
      </w:r>
      <w:r>
        <w:rPr>
          <w:bCs/>
          <w:b/>
        </w:rPr>
        <w:t xml:space="preserve">State it in the Summary and in Limitations, in plain words.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No named asset.</w:t>
      </w:r>
      <w:r>
        <w:t xml:space="preserve"> </w:t>
      </w:r>
      <w:r>
        <w:t xml:space="preserve">Across recent SPE DSEA AI papers the near-universal pattern is a paper</w:t>
      </w:r>
      <w:r>
        <w:t xml:space="preserve"> </w:t>
      </w:r>
      <w:r>
        <w:t xml:space="preserve">anchored to a physical asset with a stated operational consequence. Anchor this explicitly:</w:t>
      </w:r>
      <w:r>
        <w:t xml:space="preserve"> </w:t>
      </w:r>
      <w:r>
        <w:t xml:space="preserve">fixed point-gas detection at wellpads, tank batteries, compressor stations and gas-processing</w:t>
      </w:r>
      <w:r>
        <w:t xml:space="preserve"> </w:t>
      </w:r>
      <w:r>
        <w:t xml:space="preserve">facilities, where MQ-class MOX detectors and low-cost edge compute are actually deployed, and</w:t>
      </w:r>
      <w:r>
        <w:t xml:space="preserve"> </w:t>
      </w:r>
      <w:r>
        <w:t xml:space="preserve">where alarm burden and fugitive-emission response are live operational problems. Make the</w:t>
      </w:r>
      <w:r>
        <w:t xml:space="preserve"> </w:t>
      </w:r>
      <w:r>
        <w:t xml:space="preserve">safety↔emissions linkage explicit — for SPE that connects the work to Sustainability and</w:t>
      </w:r>
      <w:r>
        <w:t xml:space="preserve"> </w:t>
      </w:r>
      <w:r>
        <w:t xml:space="preserve">Energy Transition as well.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Reference [6] is miscited.</w:t>
      </w:r>
      <w:r>
        <w:t xml:space="preserve"> </w:t>
      </w:r>
      <w:r>
        <w:t xml:space="preserve">Liang et al. (2024),</w:t>
      </w:r>
      <w:r>
        <w:t xml:space="preserve"> </w:t>
      </w:r>
      <w:r>
        <w:t xml:space="preserve">“</w:t>
      </w:r>
      <w:r>
        <w:t xml:space="preserve">Leak Detection in Natural Gas Pipelines</w:t>
      </w:r>
      <w:r>
        <w:t xml:space="preserve"> </w:t>
      </w:r>
      <w:r>
        <w:t xml:space="preserve">Based on Unsupervised Reconstruction of Healthy Flow Data,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SPE Production &amp; Operations</w:t>
      </w:r>
      <w:r>
        <w:t xml:space="preserve"> </w:t>
      </w:r>
      <w:r>
        <w:t xml:space="preserve">38 (3): 513, not SPE Journal. Miscited references in the target society’s own journals are</w:t>
      </w:r>
      <w:r>
        <w:t xml:space="preserve"> </w:t>
      </w:r>
      <w:r>
        <w:t xml:space="preserve">an avoidable and disproportionately costly error.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W10. Functional-safety positioning is absent, and action 4 makes it unavoidable.</w:t>
      </w:r>
    </w:p>
    <w:p>
      <w:pPr>
        <w:pStyle w:val="BodyText"/>
      </w:pPr>
      <w:r>
        <w:t xml:space="preserve">The action space terminates in</w:t>
      </w:r>
      <w:r>
        <w:t xml:space="preserve"> </w:t>
      </w:r>
      <w:r>
        <w:rPr>
          <w:iCs/>
          <w:i/>
        </w:rPr>
        <w:t xml:space="preserve">Emergency Shutdown</w:t>
      </w:r>
      <w:r>
        <w:t xml:space="preserve">. A learned model that can select an ESD</w:t>
      </w:r>
      <w:r>
        <w:t xml:space="preserve"> </w:t>
      </w:r>
      <w:r>
        <w:t xml:space="preserve">action sits, by construction, inside a safety instrumented function. Under IEC 61511 there is</w:t>
      </w:r>
      <w:r>
        <w:t xml:space="preserve"> </w:t>
      </w:r>
      <w:r>
        <w:t xml:space="preserve">no established certification pathway for a learned component in an ESD path, and under LOPA the</w:t>
      </w:r>
      <w:r>
        <w:t xml:space="preserve"> </w:t>
      </w:r>
      <w:r>
        <w:t xml:space="preserve">protection layers must be independent — a single network selecting across the alarm layer and</w:t>
      </w:r>
      <w:r>
        <w:t xml:space="preserve"> </w:t>
      </w:r>
      <w:r>
        <w:t xml:space="preserve">the SIS layer collapses them into one common-cause component.</w:t>
      </w:r>
    </w:p>
    <w:p>
      <w:pPr>
        <w:pStyle w:val="BodyText"/>
      </w:pPr>
      <w:r>
        <w:t xml:space="preserve">The paper does not mention IEC 61511, ISA-18.2, LOPA, or EEMUA 191. It should, briefly and</w:t>
      </w:r>
      <w:r>
        <w:t xml:space="preserve"> </w:t>
      </w:r>
      <w:r>
        <w:t xml:space="preserve">confidently, and it should take the survivable position:</w:t>
      </w:r>
    </w:p>
    <w:p>
      <w:pPr>
        <w:pStyle w:val="BlockText"/>
      </w:pPr>
      <w:r>
        <w:t xml:space="preserve">the framework is advisory and sits in the alarm-management/operator-support layer; the ESD</w:t>
      </w:r>
      <w:r>
        <w:t xml:space="preserve"> </w:t>
      </w:r>
      <w:r>
        <w:t xml:space="preserve">trip remains an independent, deterministic, separately verified function;</w:t>
      </w:r>
      <w:r>
        <w:t xml:space="preserve"> </w:t>
      </w:r>
      <w:r>
        <w:t xml:space="preserve">“</w:t>
      </w:r>
      <w:r>
        <w:t xml:space="preserve">Emergency Shutdown</w:t>
      </w:r>
      <w:r>
        <w:t xml:space="preserve">”</w:t>
      </w:r>
      <w:r>
        <w:t xml:space="preserve"> </w:t>
      </w:r>
      <w:r>
        <w:t xml:space="preserve">denotes the</w:t>
      </w:r>
      <w:r>
        <w:t xml:space="preserve"> </w:t>
      </w:r>
      <w:r>
        <w:rPr>
          <w:iCs/>
          <w:i/>
        </w:rPr>
        <w:t xml:space="preserve">recommendation</w:t>
      </w:r>
      <w:r>
        <w:t xml:space="preserve"> </w:t>
      </w:r>
      <w:r>
        <w:t xml:space="preserve">to initiate the plant’s existing ESD procedure, not an actuation.</w:t>
      </w:r>
    </w:p>
    <w:p>
      <w:pPr>
        <w:pStyle w:val="FirstParagraph"/>
      </w:pPr>
      <w:r>
        <w:t xml:space="preserve">Two sentences in Section 3.2 and one paragraph in the Discussion close this. Left open, it is a</w:t>
      </w:r>
      <w:r>
        <w:t xml:space="preserve"> </w:t>
      </w:r>
      <w:r>
        <w:t xml:space="preserve">straightforward rejection route for any reviewer with a process-safety background — and SPE</w:t>
      </w:r>
      <w:r>
        <w:t xml:space="preserve"> </w:t>
      </w:r>
      <w:r>
        <w:t xml:space="preserve">will assign at least 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W11. Missing baselines that reviewers will name.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Classical sequential change detection (CUSUM, SPRT).</w:t>
      </w:r>
      <w:r>
        <w:t xml:space="preserve"> </w:t>
      </w:r>
      <w:r>
        <w:t xml:space="preserve">These solve the stated problem —</w:t>
      </w:r>
      <w:r>
        <w:t xml:space="preserve"> </w:t>
      </w:r>
      <w:r>
        <w:t xml:space="preserve">escalate when evidence accumulates — with two parameters and provable ARL guarantees. Omitting</w:t>
      </w:r>
      <w:r>
        <w:t xml:space="preserve"> </w:t>
      </w:r>
      <w:r>
        <w:t xml:space="preserve">them from a paper about escalation under uncertainty is the single highest-probability</w:t>
      </w:r>
      <w:r>
        <w:t xml:space="preserve"> </w:t>
      </w:r>
      <w:r>
        <w:t xml:space="preserve">rejection cause after W1.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deployable threshold rule.</w:t>
      </w:r>
      <w:r>
        <w:t xml:space="preserve"> </w:t>
      </w:r>
      <w:r>
        <w:t xml:space="preserve">Table 9’s rule-oracle requires the true label and is</w:t>
      </w:r>
      <w:r>
        <w:t xml:space="preserve"> </w:t>
      </w:r>
      <w:r>
        <w:t xml:space="preserve">therefore not a baseline. The relevant comparison is a hand-tuned threshold on the MQ</w:t>
      </w:r>
      <w:r>
        <w:t xml:space="preserve"> </w:t>
      </w:r>
      <w:r>
        <w:t xml:space="preserve">channels, which is what the industry actually deploys.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k-NN.</w:t>
      </w:r>
      <w:r>
        <w:t xml:space="preserve"> </w:t>
      </w:r>
      <w:r>
        <w:t xml:space="preserve">An unrefereed public notebook reportedly reaches ~97.3% on the CSV alone. If a</w:t>
      </w:r>
      <w:r>
        <w:t xml:space="preserve"> </w:t>
      </w:r>
      <w:r>
        <w:t xml:space="preserve">reviewer finds that before the authors report it, the framing damage is severe.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W12. Perturbation results report only half of the safety picture.</w:t>
      </w:r>
    </w:p>
    <w:p>
      <w:pPr>
        <w:pStyle w:val="BodyText"/>
      </w:pPr>
      <w:r>
        <w:t xml:space="preserve">Table 9 reports decision accuracy and danger-miss rate under perturbation, but</w:t>
      </w:r>
      <w:r>
        <w:t xml:space="preserve"> </w:t>
      </w:r>
      <w:r>
        <w:rPr>
          <w:bCs/>
          <w:b/>
        </w:rPr>
        <w:t xml:space="preserve">not the</w:t>
      </w:r>
      <w:r>
        <w:rPr>
          <w:bCs/>
          <w:b/>
        </w:rPr>
        <w:t xml:space="preserve"> </w:t>
      </w:r>
      <w:r>
        <w:rPr>
          <w:bCs/>
          <w:b/>
        </w:rPr>
        <w:t xml:space="preserve">false-alarm or over-escalation rate</w:t>
      </w:r>
      <w:r>
        <w:t xml:space="preserve">. Under 3-sensor dropout, ARXIS accuracy falls to 29.9%</w:t>
      </w:r>
      <w:r>
        <w:t xml:space="preserve"> </w:t>
      </w:r>
      <w:r>
        <w:t xml:space="preserve">while danger misses stay at zero. In a 5-action space, an easy way to hold misses at zero while</w:t>
      </w:r>
      <w:r>
        <w:t xml:space="preserve"> </w:t>
      </w:r>
      <w:r>
        <w:t xml:space="preserve">accuracy collapses is to escalate indiscriminately. Without the false-alarm column the reader</w:t>
      </w:r>
      <w:r>
        <w:t xml:space="preserve"> </w:t>
      </w:r>
      <w:r>
        <w:t xml:space="preserve">cannot distinguish graceful degradation from a policy that has become an alarm generator — and</w:t>
      </w:r>
      <w:r>
        <w:t xml:space="preserve"> </w:t>
      </w:r>
      <w:r>
        <w:t xml:space="preserve">under EEMUA 191, an alarm generator is a safety hazard, not a safe failure. Add false-alarm rate</w:t>
      </w:r>
      <w:r>
        <w:t xml:space="preserve"> </w:t>
      </w:r>
      <w:r>
        <w:t xml:space="preserve">and mean action severity to every perturbation row.</w:t>
      </w:r>
    </w:p>
    <w:bookmarkEnd w:id="22"/>
    <w:bookmarkStart w:id="23" w:name="a.3-rating-and-readiness"/>
    <w:p>
      <w:pPr>
        <w:pStyle w:val="Heading3"/>
      </w:pPr>
      <w:r>
        <w:t xml:space="preserve">A.3 Rating and readiness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Importance and timeliness of the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 as currently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 as it could honestly be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Methodological rigor of the evaluation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Correspondence between claims and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 to SPE Journal DSEA as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and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Overall, as submitted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Overall, achievable with the repairs below and no new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6.5–7 / 10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as submitted: Reject.</w:t>
      </w:r>
      <w:r>
        <w:t xml:space="preserve"> </w:t>
      </w:r>
      <w:r>
        <w:t xml:space="preserve">Not for weakness of idea — the idea is good — but</w:t>
      </w:r>
      <w:r>
        <w:t xml:space="preserve"> </w:t>
      </w:r>
      <w:r>
        <w:t xml:space="preserve">because Section 3 does not describe the system that produced Section 4 (W1), the headline</w:t>
      </w:r>
      <w:r>
        <w:t xml:space="preserve"> </w:t>
      </w:r>
      <w:r>
        <w:t xml:space="preserve">statistical claim is vacuous by construction (W4), and a result that contradicts the central</w:t>
      </w:r>
      <w:r>
        <w:t xml:space="preserve"> </w:t>
      </w:r>
      <w:r>
        <w:t xml:space="preserve">conclusion exists in the authors’ files and is not reported (W3).</w:t>
      </w:r>
    </w:p>
    <w:p>
      <w:pPr>
        <w:pStyle w:val="BodyText"/>
      </w:pPr>
      <w:r>
        <w:rPr>
          <w:bCs/>
          <w:b/>
        </w:rPr>
        <w:t xml:space="preserve">Recommendation after repair: Major Revision, with a realistic path to acceptance.</w:t>
      </w:r>
      <w:r>
        <w:t xml:space="preserve"> </w:t>
      </w:r>
      <w:r>
        <w:t xml:space="preserve">Every one</w:t>
      </w:r>
      <w:r>
        <w:t xml:space="preserve"> </w:t>
      </w:r>
      <w:r>
        <w:t xml:space="preserve">of W1–W8 and W12 can be fixed with the data already in hand. W9–W11 require writing and, for</w:t>
      </w:r>
      <w:r>
        <w:t xml:space="preserve"> </w:t>
      </w:r>
      <w:r>
        <w:t xml:space="preserve">W11, roughly a week of additional baselines.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b.-section-by-section-feedback"/>
    <w:p>
      <w:pPr>
        <w:pStyle w:val="Heading2"/>
      </w:pPr>
      <w:r>
        <w:t xml:space="preserve">B. Section-by-Section Feedback</w:t>
      </w:r>
    </w:p>
    <w:bookmarkStart w:id="25" w:name="b.1-title-and-framing"/>
    <w:p>
      <w:pPr>
        <w:pStyle w:val="Heading3"/>
      </w:pPr>
      <w:r>
        <w:t xml:space="preserve">B.1 Title and framing</w:t>
      </w:r>
    </w:p>
    <w:p>
      <w:pPr>
        <w:pStyle w:val="FirstParagraph"/>
      </w:pPr>
      <w:r>
        <w:t xml:space="preserve">“</w:t>
      </w:r>
      <w:r>
        <w:t xml:space="preserve">Agentic AI</w:t>
      </w:r>
      <w:r>
        <w:t xml:space="preserve">”</w:t>
      </w:r>
      <w:r>
        <w:t xml:space="preserve"> </w:t>
      </w:r>
      <w:r>
        <w:t xml:space="preserve">is doing work the paper cannot support. The agentic layer — critic, memory,</w:t>
      </w:r>
      <w:r>
        <w:t xml:space="preserve"> </w:t>
      </w:r>
      <w:r>
        <w:t xml:space="preserve">supervisor, safety override, goal manager — has no experiment attached to it anywhere in</w:t>
      </w:r>
      <w:r>
        <w:t xml:space="preserve"> </w:t>
      </w:r>
      <w:r>
        <w:t xml:space="preserve">Section 4; the evaluated system is a classifier, an autoencoder, a weighted-CE network, and an</w:t>
      </w:r>
      <w:r>
        <w:t xml:space="preserve"> </w:t>
      </w:r>
      <w:r>
        <w:t xml:space="preserve">LLM that is explicitly off the safety path. Naming the paper after its least-evaluated component</w:t>
      </w:r>
      <w:r>
        <w:t xml:space="preserve"> </w:t>
      </w:r>
      <w:r>
        <w:t xml:space="preserve">invites exactly the wrong question.</w:t>
      </w:r>
    </w:p>
    <w:p>
      <w:pPr>
        <w:pStyle w:val="BodyText"/>
      </w:pPr>
      <w:r>
        <w:t xml:space="preserve">Three alternative titles, in order of my preference: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Safety-Relevant Evaluation of Edge-Deployable Machine Learning for Gas-Hazard Monitoring:</w:t>
      </w:r>
      <w:r>
        <w:rPr>
          <w:iCs/>
          <w:i/>
        </w:rPr>
        <w:t xml:space="preserve"> </w:t>
      </w:r>
      <w:r>
        <w:rPr>
          <w:iCs/>
          <w:i/>
        </w:rPr>
        <w:t xml:space="preserve">Why Accuracy Rankings Do Not Predict Missed-Hazard Behavior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Beyond Classification Accuracy: Missed-Hazard, False-Alarm and Degradation Metrics for</w:t>
      </w:r>
      <w:r>
        <w:rPr>
          <w:iCs/>
          <w:i/>
        </w:rPr>
        <w:t xml:space="preserve"> </w:t>
      </w:r>
      <w:r>
        <w:rPr>
          <w:iCs/>
          <w:i/>
        </w:rPr>
        <w:t xml:space="preserve">Machine-Learning Gas Detection at the Edge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Cost-Sensitive Action Assignment for Gas-Hazard Monitoring on Low-Cost Edge Hardware:</w:t>
      </w:r>
      <w:r>
        <w:rPr>
          <w:iCs/>
          <w:i/>
        </w:rPr>
        <w:t xml:space="preserve"> </w:t>
      </w:r>
      <w:r>
        <w:rPr>
          <w:iCs/>
          <w:i/>
        </w:rPr>
        <w:t xml:space="preserve">A Leakage-Controlled Benchmark Study</w:t>
      </w:r>
    </w:p>
    <w:bookmarkEnd w:id="25"/>
    <w:bookmarkStart w:id="26" w:name="b.2-abstract-summary"/>
    <w:p>
      <w:pPr>
        <w:pStyle w:val="Heading3"/>
      </w:pPr>
      <w:r>
        <w:t xml:space="preserve">B.2 Abstract (Summary)</w:t>
      </w:r>
    </w:p>
    <w:p>
      <w:pPr>
        <w:pStyle w:val="FirstParagraph"/>
      </w:pPr>
      <w:r>
        <w:rPr>
          <w:bCs/>
          <w:b/>
        </w:rPr>
        <w:t xml:space="preserve">SPE convention:</w:t>
      </w:r>
      <w:r>
        <w:t xml:space="preserve"> </w:t>
      </w:r>
      <w:r>
        <w:t xml:space="preserve">published SPE Journal articles head this section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Summary,</w:t>
      </w:r>
      <w:r>
        <w:rPr>
          <w:bCs/>
          <w:b/>
        </w:rP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Abstract.</w:t>
      </w:r>
      <w:r>
        <w:t xml:space="preserve">”</w:t>
      </w:r>
      <w:r>
        <w:t xml:space="preserve"> </w:t>
      </w:r>
      <w:r>
        <w:t xml:space="preserve">Rename it.</w:t>
      </w:r>
    </w:p>
    <w:p>
      <w:pPr>
        <w:pStyle w:val="BodyText"/>
      </w:pPr>
      <w:r>
        <w:t xml:space="preserve">Problems:</w:t>
      </w:r>
    </w:p>
    <w:p>
      <w:pPr>
        <w:numPr>
          <w:ilvl w:val="0"/>
          <w:numId w:val="1011"/>
        </w:numPr>
        <w:pStyle w:val="Compact"/>
      </w:pPr>
      <w:r>
        <w:t xml:space="preserve">Leads with architecture (</w:t>
      </w:r>
      <w:r>
        <w:t xml:space="preserve">“</w:t>
      </w:r>
      <w:r>
        <w:t xml:space="preserve">combines thermal-image perception, sensor-based anomaly scoring…</w:t>
      </w:r>
      <w:r>
        <w:t xml:space="preserve">”</w:t>
      </w:r>
      <w:r>
        <w:t xml:space="preserve">).</w:t>
      </w:r>
      <w:r>
        <w:t xml:space="preserve"> </w:t>
      </w:r>
      <w:r>
        <w:t xml:space="preserve">For DSEA, lead with the hazard and the operational consequence.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94.44% decision accuracy with zero danger misses across 640 hazardous windows</w:t>
      </w:r>
      <w:r>
        <w:t xml:space="preserve">”</w:t>
      </w:r>
      <w:r>
        <w:t xml:space="preserve"> </w:t>
      </w:r>
      <w:r>
        <w:t xml:space="preserve">— no</w:t>
      </w:r>
      <w:r>
        <w:t xml:space="preserve"> </w:t>
      </w:r>
      <w:r>
        <w:t xml:space="preserve">confidence bound. 0/640 supports only</w:t>
      </w:r>
      <w:r>
        <w:t xml:space="preserve"> </w:t>
      </w:r>
      <w:r>
        <w:rPr>
          <w:bCs/>
          <w:b/>
        </w:rPr>
        <w:t xml:space="preserve">≤0.47% at 95% confidence</w:t>
      </w:r>
      <w:r>
        <w:t xml:space="preserve"> </w:t>
      </w:r>
      <w:r>
        <w:t xml:space="preserve">(Clopper–Pearson). State</w:t>
      </w:r>
      <w:r>
        <w:t xml:space="preserve"> </w:t>
      </w:r>
      <w:r>
        <w:t xml:space="preserve">the bound; it costs one clause and buys credibility.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zero high-severity false alarms across 316 baseline windows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≤0.94%</w:t>
      </w:r>
      <w:r>
        <w:t xml:space="preserve">, likewise.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Comprehensive baseline comparisons across 8 models… no baseline significantly outperforms</w:t>
      </w:r>
      <w:r>
        <w:t xml:space="preserve"> </w:t>
      </w:r>
      <w:r>
        <w:t xml:space="preserve">ARXIS at α=0.05</w:t>
      </w:r>
      <w:r>
        <w:t xml:space="preserve">”</w:t>
      </w:r>
      <w:r>
        <w:t xml:space="preserve"> </w:t>
      </w:r>
      <w:r>
        <w:t xml:space="preserve">— delete (W4). Note also that</w:t>
      </w:r>
      <w:r>
        <w:t xml:space="preserve"> </w:t>
      </w:r>
      <w:r>
        <w:t xml:space="preserve">“</w:t>
      </w:r>
      <w:r>
        <w:t xml:space="preserve">comprehensive</w:t>
      </w:r>
      <w:r>
        <w:t xml:space="preserve">”</w:t>
      </w:r>
      <w:r>
        <w:t xml:space="preserve"> </w:t>
      </w:r>
      <w:r>
        <w:t xml:space="preserve">is doing rhetorical work; eight</w:t>
      </w:r>
      <w:r>
        <w:t xml:space="preserve"> </w:t>
      </w:r>
      <w:r>
        <w:t xml:space="preserve">models on one fixed split is a survey, not a comprehensive comparison.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ARXIS uniquely preserves zero danger misses under distribution shift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uniquely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contradicted by Table 7 (five other models also record 0.0) and by</w:t>
      </w:r>
      <w:r>
        <w:t xml:space="preserve"> </w:t>
      </w:r>
      <w:r>
        <w:rPr>
          <w:rStyle w:val="VerbatimChar"/>
        </w:rPr>
        <w:t xml:space="preserve">exp3_loco.csv</w:t>
      </w:r>
      <w:r>
        <w:t xml:space="preserve"> </w:t>
      </w:r>
      <w:r>
        <w:t xml:space="preserve">(GBM</w:t>
      </w:r>
      <w:r>
        <w:t xml:space="preserve"> </w:t>
      </w:r>
      <w:r>
        <w:t xml:space="preserve">escalates 100% of unseen Mixture windows to ARXIS’s 30%). Delete</w:t>
      </w:r>
      <w:r>
        <w:t xml:space="preserve"> </w:t>
      </w:r>
      <w:r>
        <w:t xml:space="preserve">“</w:t>
      </w:r>
      <w:r>
        <w:t xml:space="preserve">uniquely.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The dataset is never characterized. A reader finishes the Summary without knowing the analytes</w:t>
      </w:r>
      <w:r>
        <w:t xml:space="preserve"> </w:t>
      </w:r>
      <w:r>
        <w:t xml:space="preserve">are smoke, perfume and their mixture.</w:t>
      </w:r>
    </w:p>
    <w:p>
      <w:pPr>
        <w:numPr>
          <w:ilvl w:val="0"/>
          <w:numId w:val="1011"/>
        </w:numPr>
        <w:pStyle w:val="Compact"/>
      </w:pPr>
      <w:r>
        <w:t xml:space="preserve">Missing: the negative result, which is the paper’s most valuable content.</w:t>
      </w:r>
    </w:p>
    <w:p>
      <w:pPr>
        <w:pStyle w:val="FirstParagraph"/>
      </w:pPr>
      <w:r>
        <w:t xml:space="preserve">A rewritten Summary is given in Part C.</w:t>
      </w:r>
    </w:p>
    <w:bookmarkEnd w:id="26"/>
    <w:bookmarkStart w:id="27" w:name="b.3-introduction"/>
    <w:p>
      <w:pPr>
        <w:pStyle w:val="Heading3"/>
      </w:pPr>
      <w:r>
        <w:t xml:space="preserve">B.3 Introduction</w:t>
      </w:r>
    </w:p>
    <w:p>
      <w:pPr>
        <w:pStyle w:val="FirstParagraph"/>
      </w:pPr>
      <w:r>
        <w:rPr>
          <w:bCs/>
          <w:b/>
        </w:rPr>
        <w:t xml:space="preserve">What works.</w:t>
      </w:r>
      <w:r>
        <w:t xml:space="preserve"> </w:t>
      </w:r>
      <w:r>
        <w:t xml:space="preserve">The Milford Haven opening is the right instinct — a real incident, a specific</w:t>
      </w:r>
      <w:r>
        <w:t xml:space="preserve"> </w:t>
      </w:r>
      <w:r>
        <w:t xml:space="preserve">number (275 alarms in 11 minutes), a clear inference. Keep it. The escalation from</w:t>
      </w:r>
      <w:r>
        <w:t xml:space="preserve"> </w:t>
      </w:r>
      <w:r>
        <w:t xml:space="preserve">“</w:t>
      </w:r>
      <w:r>
        <w:t xml:space="preserve">detection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response</w:t>
      </w:r>
      <w:r>
        <w:t xml:space="preserve">”</w:t>
      </w:r>
      <w:r>
        <w:t xml:space="preserve"> </w:t>
      </w:r>
      <w:r>
        <w:t xml:space="preserve">in §1 is cleanly argued.</w:t>
      </w:r>
    </w:p>
    <w:p>
      <w:pPr>
        <w:pStyle w:val="BodyText"/>
      </w:pPr>
      <w:r>
        <w:rPr>
          <w:bCs/>
          <w:b/>
        </w:rPr>
        <w:t xml:space="preserve">What does not.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 asset, no operator, no consequence.</w:t>
      </w:r>
      <w:r>
        <w:t xml:space="preserve"> </w:t>
      </w:r>
      <w:r>
        <w:t xml:space="preserve">For SPE, paragraphs 1–4 need to land in an oil and</w:t>
      </w:r>
      <w:r>
        <w:t xml:space="preserve"> </w:t>
      </w:r>
      <w:r>
        <w:t xml:space="preserve">gas facility. Which asset, which detector population, which alarm system, whose decision.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gap statement is a list of adjacent literatures rather than an argument.</w:t>
      </w:r>
      <w:r>
        <w:t xml:space="preserve"> </w:t>
      </w:r>
      <w:r>
        <w:t xml:space="preserve">§1.1 says</w:t>
      </w:r>
      <w:r>
        <w:t xml:space="preserve"> </w:t>
      </w:r>
      <w:r>
        <w:t xml:space="preserve">five capabilities</w:t>
      </w:r>
      <w:r>
        <w:t xml:space="preserve"> </w:t>
      </w:r>
      <w:r>
        <w:t xml:space="preserve">“</w:t>
      </w:r>
      <w:r>
        <w:t xml:space="preserve">are usually treated separately.</w:t>
      </w:r>
      <w:r>
        <w:t xml:space="preserve">”</w:t>
      </w:r>
      <w:r>
        <w:t xml:space="preserve"> </w:t>
      </w:r>
      <w:r>
        <w:t xml:space="preserve">A reviewer’s reply is:</w:t>
      </w:r>
      <w:r>
        <w:t xml:space="preserve"> </w:t>
      </w:r>
      <w:r>
        <w:rPr>
          <w:iCs/>
          <w:i/>
        </w:rPr>
        <w:t xml:space="preserve">integration is not</w:t>
      </w:r>
      <w:r>
        <w:rPr>
          <w:iCs/>
          <w:i/>
        </w:rPr>
        <w:t xml:space="preserve"> </w:t>
      </w:r>
      <w:r>
        <w:rPr>
          <w:iCs/>
          <w:i/>
        </w:rPr>
        <w:t xml:space="preserve">a contribution; what does integration let you conclude that the parts do not?</w:t>
      </w:r>
      <w:r>
        <w:t xml:space="preserve"> </w:t>
      </w:r>
      <w:r>
        <w:t xml:space="preserve">The answer</w:t>
      </w:r>
      <w:r>
        <w:t xml:space="preserve"> </w:t>
      </w:r>
      <w:r>
        <w:t xml:space="preserve">exists in the paper (models that tie on accuracy separate by 100× on OOD miss rate) but it is</w:t>
      </w:r>
      <w:r>
        <w:t xml:space="preserve"> </w:t>
      </w:r>
      <w:r>
        <w:t xml:space="preserve">buried in §4.6 and never used to motivate the work.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Contribution 1 is not a contribution.</w:t>
      </w:r>
      <w:r>
        <w:t xml:space="preserve"> </w:t>
      </w:r>
      <w:r>
        <w:t xml:space="preserve">“</w:t>
      </w:r>
      <w:r>
        <w:t xml:space="preserve">Modular monitoring pipeline of five coordinated</w:t>
      </w:r>
      <w:r>
        <w:t xml:space="preserve"> </w:t>
      </w:r>
      <w:r>
        <w:t xml:space="preserve">components</w:t>
      </w:r>
      <w:r>
        <w:t xml:space="preserve">”</w:t>
      </w:r>
      <w:r>
        <w:t xml:space="preserve"> </w:t>
      </w:r>
      <w:r>
        <w:t xml:space="preserve">is an architecture description. Architecture is apparatus; evidence is</w:t>
      </w:r>
      <w:r>
        <w:t xml:space="preserve"> </w:t>
      </w:r>
      <w:r>
        <w:t xml:space="preserve">contribution.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Contribution 2 overclaims</w:t>
      </w:r>
      <w:r>
        <w:t xml:space="preserve"> </w:t>
      </w:r>
      <w:r>
        <w:t xml:space="preserve">(W8: the asymmetry has no measured effect).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Contribution 3 states a number, not a finding.</w:t>
      </w:r>
      <w:r>
        <w:t xml:space="preserve"> </w:t>
      </w:r>
      <w:r>
        <w:t xml:space="preserve">“</w:t>
      </w:r>
      <w:r>
        <w:t xml:space="preserve">94.44% accuracy with zero misses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result; the contribution is the</w:t>
      </w:r>
      <w:r>
        <w:t xml:space="preserve"> </w:t>
      </w:r>
      <w:r>
        <w:rPr>
          <w:iCs/>
          <w:i/>
        </w:rPr>
        <w:t xml:space="preserve">evaluation protocol</w:t>
      </w:r>
      <w:r>
        <w:t xml:space="preserve"> </w:t>
      </w:r>
      <w:r>
        <w:t xml:space="preserve">that makes such numbers comparable.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Nothing prepares the reader for the negative results.</w:t>
      </w:r>
      <w:r>
        <w:t xml:space="preserve"> </w:t>
      </w:r>
      <w:r>
        <w:t xml:space="preserve">A paper that surfaces its own</w:t>
      </w:r>
      <w:r>
        <w:t xml:space="preserve"> </w:t>
      </w:r>
      <w:r>
        <w:t xml:space="preserve">negative findings in the Introduction reads as confident. One that saves them for §6 reads as</w:t>
      </w:r>
      <w:r>
        <w:t xml:space="preserve"> </w:t>
      </w:r>
      <w:r>
        <w:t xml:space="preserve">defensive — when they are surfaced at all.</w:t>
      </w:r>
    </w:p>
    <w:bookmarkEnd w:id="27"/>
    <w:bookmarkStart w:id="28" w:name="b.4-section-2-related-work"/>
    <w:p>
      <w:pPr>
        <w:pStyle w:val="Heading3"/>
      </w:pPr>
      <w:r>
        <w:t xml:space="preserve">B.4 Section 2 — Related work</w:t>
      </w:r>
    </w:p>
    <w:p>
      <w:pPr>
        <w:pStyle w:val="FirstParagraph"/>
      </w:pPr>
      <w:r>
        <w:t xml:space="preserve">Competent and readable, but it is a survey rather than an argument, and it stops short in three</w:t>
      </w:r>
      <w:r>
        <w:t xml:space="preserve"> </w:t>
      </w:r>
      <w:r>
        <w:t xml:space="preserve">places that will cost the paper: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benchmark’s saturation is not acknowledged.</w:t>
      </w:r>
      <w:r>
        <w:t xml:space="preserve"> </w:t>
      </w:r>
      <w:r>
        <w:t xml:space="preserve">Eleven-plus peer-reviewed studies report</w:t>
      </w:r>
      <w:r>
        <w:t xml:space="preserve"> </w:t>
      </w:r>
      <w:r>
        <w:t xml:space="preserve">93–99.7% on MultimodalGasData. Table 12 lists five. A reviewer familiar with the corpus will</w:t>
      </w:r>
      <w:r>
        <w:t xml:space="preserve"> </w:t>
      </w:r>
      <w:r>
        <w:t xml:space="preserve">note that ARXIS’s 94.44% sits below nearly all of them and that the manuscript does not say</w:t>
      </w:r>
      <w:r>
        <w:t xml:space="preserve"> </w:t>
      </w:r>
      <w:r>
        <w:t xml:space="preserve">so plainly. Say it plainly, then explain — correctly — that the numbers measure different</w:t>
      </w:r>
      <w:r>
        <w:t xml:space="preserve"> </w:t>
      </w:r>
      <w:r>
        <w:t xml:space="preserve">quantities. Own the comparison before a reviewer makes it for you.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drift/leakage critique of MOX benchmarks is missing.</w:t>
      </w:r>
      <w:r>
        <w:t xml:space="preserve"> </w:t>
      </w:r>
      <w:r>
        <w:t xml:space="preserve">Dennler et al. (2022) showed</w:t>
      </w:r>
      <w:r>
        <w:t xml:space="preserve"> </w:t>
      </w:r>
      <w:r>
        <w:t xml:space="preserve">that shuffled splits on a comparably block-recorded MOX dataset conflate recording time with</w:t>
      </w:r>
      <w:r>
        <w:t xml:space="preserve"> </w:t>
      </w:r>
      <w:r>
        <w:t xml:space="preserve">class label, and flagged 17 publications for re-evaluation. This is the single most useful</w:t>
      </w:r>
      <w:r>
        <w:t xml:space="preserve"> </w:t>
      </w:r>
      <w:r>
        <w:t xml:space="preserve">citation available to this paper: it converts the authors’ block-wise holdout from a</w:t>
      </w:r>
      <w:r>
        <w:t xml:space="preserve"> </w:t>
      </w:r>
      <w:r>
        <w:t xml:space="preserve">housekeeping detail into a positioned methodological claim.</w:t>
      </w:r>
      <w:r>
        <w:t xml:space="preserve"> </w:t>
      </w:r>
      <w:r>
        <w:rPr>
          <w:bCs/>
          <w:b/>
        </w:rPr>
        <w:t xml:space="preserve">Add it and build on it.</w:t>
      </w:r>
      <w:r>
        <w:t xml:space="preserve"> </w:t>
      </w:r>
      <w:r>
        <w:t xml:space="preserve">[CITATION NEEDED — verify DOI]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 functional-safety literature at all.</w:t>
      </w:r>
      <w:r>
        <w:t xml:space="preserve"> </w:t>
      </w:r>
      <w:r>
        <w:t xml:space="preserve">ISA-18.2, IEC 61511, EEMUA 191, LOPA. See W10.</w:t>
      </w:r>
    </w:p>
    <w:p>
      <w:pPr>
        <w:pStyle w:val="FirstParagraph"/>
      </w:pPr>
      <w:r>
        <w:t xml:space="preserve">Table 1’s</w:t>
      </w:r>
      <w:r>
        <w:t xml:space="preserve"> </w:t>
      </w:r>
      <w:r>
        <w:t xml:space="preserve">“</w:t>
      </w:r>
      <w:r>
        <w:t xml:space="preserve">Limitation relevant to ARXIS</w:t>
      </w:r>
      <w:r>
        <w:t xml:space="preserve">”</w:t>
      </w:r>
      <w:r>
        <w:t xml:space="preserve"> </w:t>
      </w:r>
      <w:r>
        <w:t xml:space="preserve">column is well-constructed but every row reduces to the</w:t>
      </w:r>
      <w:r>
        <w:t xml:space="preserve"> </w:t>
      </w:r>
      <w:r>
        <w:t xml:space="preserve">same limitation (</w:t>
      </w:r>
      <w:r>
        <w:t xml:space="preserve">“</w:t>
      </w:r>
      <w:r>
        <w:t xml:space="preserve">no decision layer</w:t>
      </w:r>
      <w:r>
        <w:t xml:space="preserve">”</w:t>
      </w:r>
      <w:r>
        <w:t xml:space="preserve">). Vary it or the table reads as a strawman.</w:t>
      </w:r>
    </w:p>
    <w:bookmarkEnd w:id="28"/>
    <w:bookmarkStart w:id="29" w:name="b.5-section-3-methodology"/>
    <w:p>
      <w:pPr>
        <w:pStyle w:val="Heading3"/>
      </w:pPr>
      <w:r>
        <w:t xml:space="preserve">B.5 Section 3 — Methodology</w:t>
      </w:r>
    </w:p>
    <w:p>
      <w:pPr>
        <w:pStyle w:val="FirstParagraph"/>
      </w:pPr>
      <w:r>
        <w:rPr>
          <w:bCs/>
          <w:b/>
        </w:rPr>
        <w:t xml:space="preserve">§3.1 Dataset.</w:t>
      </w:r>
      <w:r>
        <w:t xml:space="preserve"> </w:t>
      </w:r>
      <w:r>
        <w:t xml:space="preserve">The strongest subsection in the paper, and it should be longer.</w:t>
      </w:r>
    </w:p>
    <w:p>
      <w:pPr>
        <w:numPr>
          <w:ilvl w:val="0"/>
          <w:numId w:val="1014"/>
        </w:numPr>
        <w:pStyle w:val="Compact"/>
      </w:pPr>
      <w:r>
        <w:t xml:space="preserve">State that the four classes are clean air, incense smoke, deodorant vapour and a mixture, and</w:t>
      </w:r>
      <w:r>
        <w:t xml:space="preserve"> </w:t>
      </w:r>
      <w:r>
        <w:t xml:space="preserve">that these are</w:t>
      </w:r>
      <w:r>
        <w:t xml:space="preserve"> </w:t>
      </w:r>
      <w:r>
        <w:rPr>
          <w:bCs/>
          <w:b/>
        </w:rPr>
        <w:t xml:space="preserve">surrogates</w:t>
      </w:r>
      <w:r>
        <w:t xml:space="preserve"> </w:t>
      </w:r>
      <w:r>
        <w:t xml:space="preserve">for hydrocarbon and VOC release. Do this here, not only in §6.</w:t>
      </w:r>
    </w:p>
    <w:p>
      <w:pPr>
        <w:numPr>
          <w:ilvl w:val="0"/>
          <w:numId w:val="1014"/>
        </w:numPr>
        <w:pStyle w:val="Compact"/>
      </w:pPr>
      <w:r>
        <w:t xml:space="preserve">State that the four classes are</w:t>
      </w:r>
      <w:r>
        <w:t xml:space="preserve"> </w:t>
      </w:r>
      <w:r>
        <w:rPr>
          <w:bCs/>
          <w:b/>
        </w:rPr>
        <w:t xml:space="preserve">four contiguous 1,600-row blocks from a single ~90-minute</w:t>
      </w:r>
      <w:r>
        <w:rPr>
          <w:bCs/>
          <w:b/>
        </w:rPr>
        <w:t xml:space="preserve"> </w:t>
      </w:r>
      <w:r>
        <w:rPr>
          <w:bCs/>
          <w:b/>
        </w:rPr>
        <w:t xml:space="preserve">session</w:t>
      </w:r>
      <w:r>
        <w:t xml:space="preserve">. This is the fact that motivates the entire split design; it is currently implied</w:t>
      </w:r>
      <w:r>
        <w:t xml:space="preserve"> </w:t>
      </w:r>
      <w:r>
        <w:t xml:space="preserve">(</w:t>
      </w:r>
      <w:r>
        <w:t xml:space="preserve">“</w:t>
      </w:r>
      <w:r>
        <w:t xml:space="preserve">the source data are block-ordered by class</w:t>
      </w:r>
      <w:r>
        <w:t xml:space="preserve">”</w:t>
      </w:r>
      <w:r>
        <w:t xml:space="preserve">) rather than stated with its consequence</w:t>
      </w:r>
      <w:r>
        <w:t xml:space="preserve"> </w:t>
      </w:r>
      <w:r>
        <w:t xml:space="preserve">(within-session drift is confounded with class identity).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Window-count arithmetic is inconsistent across the paper.</w:t>
      </w:r>
      <w:r>
        <w:t xml:space="preserve"> </w:t>
      </w:r>
      <w:r>
        <w:t xml:space="preserve">§3.1: 5,024 + 1,276 + 80 gap =</w:t>
      </w:r>
      <w:r>
        <w:t xml:space="preserve"> </w:t>
      </w:r>
      <w:r>
        <w:t xml:space="preserve">6,380. §4.3:</w:t>
      </w:r>
      <w:r>
        <w:t xml:space="preserve"> </w:t>
      </w:r>
      <w:r>
        <w:t xml:space="preserve">“</w:t>
      </w:r>
      <w:r>
        <w:t xml:space="preserve">6,380 sequenced windows.</w:t>
      </w:r>
      <w:r>
        <w:t xml:space="preserve">”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:</w:t>
      </w:r>
      <w:r>
        <w:t xml:space="preserve"> </w:t>
      </w:r>
      <w:r>
        <w:t xml:space="preserve">“</w:t>
      </w:r>
      <w:r>
        <w:t xml:space="preserve">6,324 leakage-safe sliding windows after</w:t>
      </w:r>
      <w:r>
        <w:t xml:space="preserve"> </w:t>
      </w:r>
      <w:r>
        <w:t xml:space="preserve">dropping class-boundary-straddling windows.</w:t>
      </w:r>
      <w:r>
        <w:t xml:space="preserve">”</w:t>
      </w:r>
      <w:r>
        <w:t xml:space="preserve"> </w:t>
      </w:r>
      <w:r>
        <w:t xml:space="preserve">Table 8’s Clopper–Pearson bounds imply 1,581</w:t>
      </w:r>
      <w:r>
        <w:t xml:space="preserve"> </w:t>
      </w:r>
      <w:r>
        <w:t xml:space="preserve">danger rows per held-out class (4 × 1,581 = 6,324). Table 5’s counts imply 1,580 normal + 4,800</w:t>
      </w:r>
      <w:r>
        <w:t xml:space="preserve"> </w:t>
      </w:r>
      <w:r>
        <w:t xml:space="preserve">anomalous = 6,380. Reconcile these to one number and one procedure, and state explicitly</w:t>
      </w:r>
      <w:r>
        <w:t xml:space="preserve"> </w:t>
      </w:r>
      <w:r>
        <w:t xml:space="preserve">whether boundary-straddling windows were dropped.</w:t>
      </w:r>
    </w:p>
    <w:p>
      <w:pPr>
        <w:numPr>
          <w:ilvl w:val="0"/>
          <w:numId w:val="1014"/>
        </w:numPr>
        <w:pStyle w:val="Compact"/>
      </w:pPr>
      <w:r>
        <w:t xml:space="preserve">Test partition sizes (316/320/320/320) should be explained; the asymmetry is informative about</w:t>
      </w:r>
      <w:r>
        <w:t xml:space="preserve"> </w:t>
      </w:r>
      <w:r>
        <w:t xml:space="preserve">how windows were formed.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split is generated once, without a seed.</w:t>
      </w:r>
      <w:r>
        <w:t xml:space="preserve"> </w:t>
      </w:r>
      <w:r>
        <w:t xml:space="preserve">State this, and state its consequence: the</w:t>
      </w:r>
      <w:r>
        <w:t xml:space="preserve"> </w:t>
      </w:r>
      <w:r>
        <w:t xml:space="preserve">reported ± excludes partition variance.</w:t>
      </w:r>
    </w:p>
    <w:p>
      <w:pPr>
        <w:pStyle w:val="FirstParagraph"/>
      </w:pPr>
      <w:r>
        <w:rPr>
          <w:bCs/>
          <w:b/>
        </w:rPr>
        <w:t xml:space="preserve">§3.2 Architecture.</w:t>
      </w:r>
      <w:r>
        <w:t xml:space="preserve"> </w:t>
      </w:r>
      <w:r>
        <w:t xml:space="preserve">Fine as apparatus. Add the functional-safety positioning (W10) and state</w:t>
      </w:r>
      <w:r>
        <w:t xml:space="preserve"> </w:t>
      </w:r>
      <w:r>
        <w:t xml:space="preserve">the design deadline the decision path must meet and the fallback when it is missed.</w:t>
      </w:r>
    </w:p>
    <w:p>
      <w:pPr>
        <w:pStyle w:val="BodyText"/>
      </w:pPr>
      <w:r>
        <w:rPr>
          <w:bCs/>
          <w:b/>
        </w:rPr>
        <w:t xml:space="preserve">§3.3 Agents.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Perception Agent:</w:t>
      </w:r>
      <w:r>
        <w:t xml:space="preserve"> </w:t>
      </w:r>
      <w:r>
        <w:t xml:space="preserve">see W6. Also, Fig. 2’s data flow shows the Perception output feeding the</w:t>
      </w:r>
      <w:r>
        <w:t xml:space="preserve"> </w:t>
      </w:r>
      <w:r>
        <w:t xml:space="preserve">Multimodal Agent, but §3.3 (Multimodal Agent) constructs a 22-dimensional state containing no</w:t>
      </w:r>
      <w:r>
        <w:t xml:space="preserve"> </w:t>
      </w:r>
      <w:r>
        <w:t xml:space="preserve">visual term. So the vision branch does not influence the action. §6 admits this, but the</w:t>
      </w:r>
      <w:r>
        <w:t xml:space="preserve"> </w:t>
      </w:r>
      <w:r>
        <w:t xml:space="preserve">architecture figure implies otherwise. Redraw the figure so the advisory-only path of the</w:t>
      </w:r>
      <w:r>
        <w:t xml:space="preserve"> </w:t>
      </w:r>
      <w:r>
        <w:t xml:space="preserve">vision branch is visible.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Anomaly Detection Agent:</w:t>
      </w:r>
      <w:r>
        <w:t xml:space="preserve"> </w:t>
      </w:r>
      <w:r>
        <w:t xml:space="preserve">see W5. Additionally, the paper should report the</w:t>
      </w:r>
      <w:r>
        <w:t xml:space="preserve"> </w:t>
      </w:r>
      <w:r>
        <w:rPr>
          <w:bCs/>
          <w:b/>
        </w:rPr>
        <w:t xml:space="preserve">per-class</w:t>
      </w:r>
      <w:r>
        <w:rPr>
          <w:bCs/>
          <w:b/>
        </w:rPr>
        <w:t xml:space="preserve"> </w:t>
      </w:r>
      <w:r>
        <w:rPr>
          <w:bCs/>
          <w:b/>
        </w:rPr>
        <w:t xml:space="preserve">anomaly-score distribution</w:t>
      </w:r>
      <w:r>
        <w:t xml:space="preserve">. This matters because the anomaly score is state feature 0 and is</w:t>
      </w:r>
      <w:r>
        <w:t xml:space="preserve"> </w:t>
      </w:r>
      <w:r>
        <w:t xml:space="preserve">used by the framework’s escalation logic; if the score does not rank hazard monotonically, the</w:t>
      </w:r>
      <w:r>
        <w:t xml:space="preserve"> </w:t>
      </w:r>
      <w:r>
        <w:t xml:space="preserve">feature is not doing what the text says it does. Fig. 5b gestures at this; make it explicit and</w:t>
      </w:r>
      <w:r>
        <w:t xml:space="preserve"> </w:t>
      </w:r>
      <w:r>
        <w:t xml:space="preserve">quantitative.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Decision Agent:</w:t>
      </w:r>
      <w:r>
        <w:t xml:space="preserve"> </w:t>
      </w:r>
      <w:r>
        <w:rPr>
          <w:bCs/>
          <w:b/>
        </w:rPr>
        <w:t xml:space="preserve">the reward function is never written down.</w:t>
      </w:r>
      <w:r>
        <w:t xml:space="preserve"> </w:t>
      </w:r>
      <w:r>
        <w:t xml:space="preserve">“</w:t>
      </w:r>
      <w:r>
        <w:t xml:space="preserve">The total reward is the sum of</w:t>
      </w:r>
      <w:r>
        <w:t xml:space="preserve"> </w:t>
      </w:r>
      <w:r>
        <w:t xml:space="preserve">four components: base, danger, alarm, and VOC terms</w:t>
      </w:r>
      <w:r>
        <w:t xml:space="preserve">”</w:t>
      </w:r>
      <w:r>
        <w:t xml:space="preserve"> </w:t>
      </w:r>
      <w:r>
        <w:t xml:space="preserve">is not a specification. Given W1 this</w:t>
      </w:r>
      <w:r>
        <w:t xml:space="preserve"> </w:t>
      </w:r>
      <w:r>
        <w:t xml:space="preserve">section needs rewriting regardless; when it is rewritten, give the objective in full, as an</w:t>
      </w:r>
      <w:r>
        <w:t xml:space="preserve"> </w:t>
      </w:r>
      <w:r>
        <w:t xml:space="preserve">equation, with the numeric cost weights and the cost ratio (8:1). Reproducibility is not</w:t>
      </w:r>
      <w:r>
        <w:t xml:space="preserve"> </w:t>
      </w:r>
      <w:r>
        <w:t xml:space="preserve">optional at SPE Journal.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Reasoning Agent:</w:t>
      </w:r>
      <w:r>
        <w:t xml:space="preserve"> </w:t>
      </w:r>
      <w:r>
        <w:t xml:space="preserve">the best-argued paragraph in the manuscript. The explicit statement that</w:t>
      </w:r>
      <w:r>
        <w:t xml:space="preserve"> </w:t>
      </w:r>
      <w:r>
        <w:t xml:space="preserve">the LLM is advisory, off the safety path, and cannot alter the action is exactly right, and</w:t>
      </w:r>
      <w:r>
        <w:t xml:space="preserve"> </w:t>
      </w:r>
      <w:r>
        <w:t xml:space="preserve">the justification (</w:t>
      </w:r>
      <w:r>
        <w:t xml:space="preserve">“</w:t>
      </w:r>
      <w:r>
        <w:t xml:space="preserve">fluent but inconsistent … would be a hazard rather than an aid</w:t>
      </w:r>
      <w:r>
        <w:t xml:space="preserve">”</w:t>
      </w:r>
      <w:r>
        <w:t xml:space="preserve">) is the</w:t>
      </w:r>
      <w:r>
        <w:t xml:space="preserve"> </w:t>
      </w:r>
      <w:r>
        <w:t xml:space="preserve">correct instinct, well expressed. Keep verbatim. Add: model version pinning, temperature,</w:t>
      </w:r>
      <w:r>
        <w:t xml:space="preserve"> </w:t>
      </w:r>
      <w:r>
        <w:t xml:space="preserve">determinism, and what happens when the LLM path times out.</w:t>
      </w:r>
    </w:p>
    <w:p>
      <w:pPr>
        <w:pStyle w:val="FirstParagraph"/>
      </w:pPr>
      <w:r>
        <w:rPr>
          <w:bCs/>
          <w:b/>
        </w:rPr>
        <w:t xml:space="preserve">§3.4 Edge setup.</w:t>
      </w:r>
      <w:r>
        <w:t xml:space="preserve"> </w:t>
      </w:r>
      <w:r>
        <w:t xml:space="preserve">Good. Add: the sampling interval’s basis (why 0.5 Hz), and whether 2,000 ms</w:t>
      </w:r>
      <w:r>
        <w:t xml:space="preserve"> </w:t>
      </w:r>
      <w:r>
        <w:t xml:space="preserve">is a design requirement or a convenience.</w:t>
      </w:r>
    </w:p>
    <w:bookmarkEnd w:id="29"/>
    <w:bookmarkStart w:id="30" w:name="b.6-section-4-results"/>
    <w:p>
      <w:pPr>
        <w:pStyle w:val="Heading3"/>
      </w:pPr>
      <w:r>
        <w:t xml:space="preserve">B.6 Section 4 — Results</w:t>
      </w:r>
    </w:p>
    <w:p>
      <w:pPr>
        <w:pStyle w:val="FirstParagraph"/>
      </w:pPr>
      <w:r>
        <w:t xml:space="preserve">Merging</w:t>
      </w:r>
      <w:r>
        <w:t xml:space="preserve"> </w:t>
      </w:r>
      <w:r>
        <w:t xml:space="preserve">“</w:t>
      </w:r>
      <w:r>
        <w:t xml:space="preserve">Results and Discussion</w:t>
      </w:r>
      <w:r>
        <w:t xml:space="preserve">”</w:t>
      </w:r>
      <w:r>
        <w:t xml:space="preserve"> </w:t>
      </w:r>
      <w:r>
        <w:t xml:space="preserve">then having a separate Section 5 titled</w:t>
      </w:r>
      <w:r>
        <w:t xml:space="preserve"> </w:t>
      </w:r>
      <w:r>
        <w:t xml:space="preserve">“</w:t>
      </w:r>
      <w:r>
        <w:t xml:space="preserve">Discussion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structural error; there is real overlap between §4.10/§4.7 and §5.1/§5.3, and it produces</w:t>
      </w:r>
      <w:r>
        <w:t xml:space="preserve"> </w:t>
      </w:r>
      <w:r>
        <w:t xml:space="preserve">repetition. Rename §4</w:t>
      </w:r>
      <w:r>
        <w:t xml:space="preserve"> </w:t>
      </w:r>
      <w:r>
        <w:t xml:space="preserve">“</w:t>
      </w:r>
      <w:r>
        <w:t xml:space="preserve">Results</w:t>
      </w:r>
      <w:r>
        <w:t xml:space="preserve">”</w:t>
      </w:r>
      <w:r>
        <w:t xml:space="preserve"> </w:t>
      </w:r>
      <w:r>
        <w:t xml:space="preserve">and move all interpretation into §5.</w:t>
      </w:r>
    </w:p>
    <w:p>
      <w:pPr>
        <w:pStyle w:val="BodyText"/>
      </w:pPr>
      <w:r>
        <w:rPr>
          <w:bCs/>
          <w:b/>
        </w:rPr>
        <w:t xml:space="preserve">§4.2 Perception.</w:t>
      </w:r>
      <w:r>
        <w:t xml:space="preserve"> </w:t>
      </w:r>
      <w:r>
        <w:t xml:space="preserve">See W6.</w:t>
      </w:r>
      <w:r>
        <w:t xml:space="preserve"> </w:t>
      </w:r>
      <w:r>
        <w:t xml:space="preserve">“</w:t>
      </w:r>
      <w:r>
        <w:t xml:space="preserve">The 15 misclassifications occurred at the NoGas–Perfume boundary,</w:t>
      </w:r>
      <w:r>
        <w:t xml:space="preserve"> </w:t>
      </w:r>
      <w:r>
        <w:t xml:space="preserve">where the safety consequence is lower</w:t>
      </w:r>
      <w:r>
        <w:t xml:space="preserve">”</w:t>
      </w:r>
      <w:r>
        <w:t xml:space="preserve"> </w:t>
      </w:r>
      <w:r>
        <w:t xml:space="preserve">— argue this rather than assert it; a false negative on</w:t>
      </w:r>
      <w:r>
        <w:t xml:space="preserve"> </w:t>
      </w:r>
      <w:r>
        <w:t xml:space="preserve">a VOC-like signature is not obviously benign in a facility context.</w:t>
      </w:r>
    </w:p>
    <w:p>
      <w:pPr>
        <w:pStyle w:val="BodyText"/>
      </w:pPr>
      <w:r>
        <w:rPr>
          <w:bCs/>
          <w:b/>
        </w:rPr>
        <w:t xml:space="preserve">§4.3 Anomaly.</w:t>
      </w:r>
      <w:r>
        <w:t xml:space="preserve"> </w:t>
      </w:r>
      <w:r>
        <w:t xml:space="preserve">See W5. The</w:t>
      </w:r>
      <w:r>
        <w:t xml:space="preserve"> </w:t>
      </w:r>
      <w:r>
        <w:t xml:space="preserve">“</w:t>
      </w:r>
      <w:r>
        <w:t xml:space="preserve">separation factor 764×</w:t>
      </w:r>
      <w:r>
        <w:t xml:space="preserve">”</w:t>
      </w:r>
      <w:r>
        <w:t xml:space="preserve"> </w:t>
      </w:r>
      <w:r>
        <w:t xml:space="preserve">is a ratio of means between distributions</w:t>
      </w:r>
      <w:r>
        <w:t xml:space="preserve"> </w:t>
      </w:r>
      <w:r>
        <w:t xml:space="preserve">with very different spreads and is not a meaningful separability statistic. Replace with AUC</w:t>
      </w:r>
      <w:r>
        <w:t xml:space="preserve"> </w:t>
      </w:r>
      <w:r>
        <w:t xml:space="preserve">(already reported) plus a distributional overlap measure.</w:t>
      </w:r>
    </w:p>
    <w:p>
      <w:pPr>
        <w:pStyle w:val="BodyText"/>
      </w:pPr>
      <w:r>
        <w:rPr>
          <w:bCs/>
          <w:b/>
        </w:rPr>
        <w:t xml:space="preserve">§4.4 Decision Agent.</w:t>
      </w:r>
      <w:r>
        <w:t xml:space="preserve"> </w:t>
      </w:r>
      <w:r>
        <w:t xml:space="preserve">Figure 7 and the entire</w:t>
      </w:r>
      <w:r>
        <w:t xml:space="preserve"> </w:t>
      </w:r>
      <w:r>
        <w:t xml:space="preserve">“</w:t>
      </w:r>
      <w:r>
        <w:t xml:space="preserve">Training dynamics</w:t>
      </w:r>
      <w:r>
        <w:t xml:space="preserve">”</w:t>
      </w:r>
      <w:r>
        <w:t xml:space="preserve"> </w:t>
      </w:r>
      <w:r>
        <w:t xml:space="preserve">subsection describe a run</w:t>
      </w:r>
      <w:r>
        <w:t xml:space="preserve"> </w:t>
      </w:r>
      <w:r>
        <w:t xml:space="preserve">that produced no reported result (W1). Delete or replace. Table 6’s per-class precision/recall</w:t>
      </w:r>
      <w:r>
        <w:t xml:space="preserve"> </w:t>
      </w:r>
      <w:r>
        <w:t xml:space="preserve">are reported by</w:t>
      </w:r>
      <w:r>
        <w:t xml:space="preserve"> </w:t>
      </w:r>
      <w:r>
        <w:rPr>
          <w:iCs/>
          <w:i/>
        </w:rPr>
        <w:t xml:space="preserve">gas class</w:t>
      </w:r>
      <w:r>
        <w:t xml:space="preserve"> </w:t>
      </w:r>
      <w:r>
        <w:t xml:space="preserve">for an</w:t>
      </w:r>
      <w:r>
        <w:t xml:space="preserve"> </w:t>
      </w:r>
      <w:r>
        <w:rPr>
          <w:iCs/>
          <w:i/>
        </w:rPr>
        <w:t xml:space="preserve">action</w:t>
      </w:r>
      <w:r>
        <w:t xml:space="preserve"> </w:t>
      </w:r>
      <w:r>
        <w:t xml:space="preserve">classifier — state explicitly that these are actions</w:t>
      </w:r>
      <w:r>
        <w:t xml:space="preserve"> </w:t>
      </w:r>
      <w:r>
        <w:t xml:space="preserve">scored against the class-conditional target set, or the table is ambiguous. Policy entropy of</w:t>
      </w:r>
      <w:r>
        <w:t xml:space="preserve"> </w:t>
      </w:r>
      <w:r>
        <w:t xml:space="preserve">1.502 nats is reported without an argument for why it is the right diagnostic; either motivate</w:t>
      </w:r>
      <w:r>
        <w:t xml:space="preserve"> </w:t>
      </w:r>
      <w:r>
        <w:t xml:space="preserve">it or cut it.</w:t>
      </w:r>
    </w:p>
    <w:p>
      <w:pPr>
        <w:pStyle w:val="BodyText"/>
      </w:pPr>
      <w:r>
        <w:rPr>
          <w:bCs/>
          <w:b/>
        </w:rPr>
        <w:t xml:space="preserve">§4.5 ZOO.</w:t>
      </w:r>
      <w:r>
        <w:t xml:space="preserve"> </w:t>
      </w:r>
      <w:r>
        <w:t xml:space="preserve">See W4. Also: Table 7’s ARXIS accuracy (0.9633) and the paper’s headline (94.44%)</w:t>
      </w:r>
      <w:r>
        <w:t xml:space="preserve"> </w:t>
      </w:r>
      <w:r>
        <w:t xml:space="preserve">are different numbers for the same system on the same test set, and the manuscript never</w:t>
      </w:r>
      <w:r>
        <w:t xml:space="preserve"> </w:t>
      </w:r>
      <w:r>
        <w:t xml:space="preserve">reconciles them. Likewise the MLP appears as 0.9616 (Table 7) and 98.20% (Table 9).</w:t>
      </w:r>
      <w:r>
        <w:t xml:space="preserve"> </w:t>
      </w: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bCs/>
          <w:b/>
        </w:rPr>
        <w:t xml:space="preserve">reviewer will notice this.</w:t>
      </w:r>
      <w:r>
        <w:t xml:space="preserve"> </w:t>
      </w:r>
      <w:r>
        <w:t xml:space="preserve">Explain the protocol difference in the text, or unify the numbers.</w:t>
      </w:r>
      <w:r>
        <w:t xml:space="preserve"> </w:t>
      </w:r>
      <w:r>
        <w:t xml:space="preserve">Report a false-alarm column in Table 7 (it exists in</w:t>
      </w:r>
      <w:r>
        <w:t xml:space="preserve"> </w:t>
      </w:r>
      <w:r>
        <w:rPr>
          <w:rStyle w:val="VerbatimChar"/>
        </w:rPr>
        <w:t xml:space="preserve">expzoo.csv</w:t>
      </w:r>
      <w:r>
        <w:t xml:space="preserve"> </w:t>
      </w:r>
      <w:r>
        <w:t xml:space="preserve">and is all zeros — say so).</w:t>
      </w:r>
    </w:p>
    <w:p>
      <w:pPr>
        <w:pStyle w:val="BodyText"/>
      </w:pPr>
      <w:r>
        <w:rPr>
          <w:bCs/>
          <w:b/>
        </w:rPr>
        <w:t xml:space="preserve">§4.6 LOCO.</w:t>
      </w:r>
      <w:r>
        <w:t xml:space="preserve"> </w:t>
      </w:r>
      <w:r>
        <w:t xml:space="preserve">The best experiment, presented as a bullet point. It deserves its own figure, its</w:t>
      </w:r>
      <w:r>
        <w:t xml:space="preserve"> </w:t>
      </w:r>
      <w:r>
        <w:t xml:space="preserve">own paragraph of interpretation, and — critically — the escalation column (W3). Also state</w:t>
      </w:r>
      <w:r>
        <w:t xml:space="preserve"> </w:t>
      </w:r>
      <w:r>
        <w:t xml:space="preserve">that LOCO accuracy is 0.0 in every cell</w:t>
      </w:r>
      <w:r>
        <w:t xml:space="preserve"> </w:t>
      </w:r>
      <w:r>
        <w:rPr>
          <w:bCs/>
          <w:b/>
        </w:rPr>
        <w:t xml:space="preserve">by construction</w:t>
      </w:r>
      <w:r>
        <w:t xml:space="preserve"> </w:t>
      </w:r>
      <w:r>
        <w:t xml:space="preserve">(the held-out class’s target action</w:t>
      </w:r>
      <w:r>
        <w:t xml:space="preserve"> </w:t>
      </w:r>
      <w:r>
        <w:t xml:space="preserve">is absent from the training label set), not by model failure; the current presentation omits</w:t>
      </w:r>
      <w:r>
        <w:t xml:space="preserve"> </w:t>
      </w:r>
      <w:r>
        <w:t xml:space="preserve">accuracy without explaining why, which invites the wrong inference. Add the remaining four</w:t>
      </w:r>
      <w:r>
        <w:t xml:space="preserve"> </w:t>
      </w:r>
      <w:r>
        <w:t xml:space="preserve">models (SVM, RF, LSTM, CQL) or state why they are excluded. Disclose the provenance caveat</w:t>
      </w:r>
      <w:r>
        <w:t xml:space="preserve"> </w:t>
      </w:r>
      <w:r>
        <w:t xml:space="preserve">recorded in the authors’ own</w:t>
      </w:r>
      <w:r>
        <w:t xml:space="preserve"> </w:t>
      </w:r>
      <w:r>
        <w:rPr>
          <w:rStyle w:val="VerbatimChar"/>
        </w:rPr>
        <w:t xml:space="preserve">NOTE_provenance_exp3.md</w:t>
      </w:r>
      <w:r>
        <w:t xml:space="preserve"> </w:t>
      </w:r>
      <w:r>
        <w:t xml:space="preserve">(the LOCO grid was executed as</w:t>
      </w:r>
      <w:r>
        <w:t xml:space="preserve"> </w:t>
      </w:r>
      <w:r>
        <w:t xml:space="preserve">independent per-class runs owing to a platform process limit) in a reproducibility statement.</w:t>
      </w:r>
    </w:p>
    <w:p>
      <w:pPr>
        <w:pStyle w:val="BodyText"/>
      </w:pPr>
      <w:r>
        <w:rPr>
          <w:bCs/>
          <w:b/>
        </w:rPr>
        <w:t xml:space="preserve">§4.7 Robustness.</w:t>
      </w:r>
      <w:r>
        <w:t xml:space="preserve"> </w:t>
      </w:r>
      <w:r>
        <w:t xml:space="preserve">See W12. Also: the perturbation intensities (σ = 0.20, 0.40; drift ±40%;</w:t>
      </w:r>
      <w:r>
        <w:t xml:space="preserve"> </w:t>
      </w:r>
      <w:r>
        <w:t xml:space="preserve">dropout 1 and 3 channels) are unmotivated. Adopt a graded severity structure (5 levels per</w:t>
      </w:r>
      <w:r>
        <w:t xml:space="preserve"> </w:t>
      </w:r>
      <w:r>
        <w:t xml:space="preserve">perturbation) and report a</w:t>
      </w:r>
      <w:r>
        <w:t xml:space="preserve"> </w:t>
      </w:r>
      <w:r>
        <w:rPr>
          <w:bCs/>
          <w:b/>
        </w:rPr>
        <w:t xml:space="preserve">breakdown point</w:t>
      </w:r>
      <w:r>
        <w:t xml:space="preserve"> </w:t>
      </w:r>
      <w:r>
        <w:t xml:space="preserve">per model — the severity at which safety</w:t>
      </w:r>
      <w:r>
        <w:t xml:space="preserve"> </w:t>
      </w:r>
      <w:r>
        <w:t xml:space="preserve">behaviour fails. Sensor dropout is the most operationally realistic perturbation here and</w:t>
      </w:r>
      <w:r>
        <w:t xml:space="preserve"> </w:t>
      </w:r>
      <w:r>
        <w:t xml:space="preserve">deserves the full 1–7 channel sweep. Add the rule-oracle and a deployable threshold rule to</w:t>
      </w:r>
      <w:r>
        <w:t xml:space="preserve"> </w:t>
      </w:r>
      <w:r>
        <w:t xml:space="preserve">every perturbation row; without them the reader cannot tell whether the learned model degrades</w:t>
      </w:r>
      <w:r>
        <w:t xml:space="preserve"> </w:t>
      </w:r>
      <w:r>
        <w:t xml:space="preserve">better or worse than the incumbent practice.</w:t>
      </w:r>
    </w:p>
    <w:p>
      <w:pPr>
        <w:pStyle w:val="BodyText"/>
      </w:pPr>
      <w:r>
        <w:rPr>
          <w:bCs/>
          <w:b/>
        </w:rPr>
        <w:t xml:space="preserve">§4.8 Calibration.</w:t>
      </w:r>
      <w:r>
        <w:t xml:space="preserve"> </w:t>
      </w:r>
      <w:r>
        <w:t xml:space="preserve">Four numbers with no interpretation, no reliability diagram, and no</w:t>
      </w:r>
      <w:r>
        <w:t xml:space="preserve"> </w:t>
      </w:r>
      <w:r>
        <w:t xml:space="preserve">confidence intervals. Note that raw, MC-dropout and temperature-scaled ECE all have standard</w:t>
      </w:r>
      <w:r>
        <w:t xml:space="preserve"> </w:t>
      </w:r>
      <w:r>
        <w:t xml:space="preserve">deviations larger than the differences between them (0.0489 ± 0.0699). Only the deep ensemble</w:t>
      </w:r>
      <w:r>
        <w:t xml:space="preserve"> </w:t>
      </w:r>
      <w:r>
        <w:t xml:space="preserve">(0.0123 ± 0.0043) is stable. The honest statement is that</w:t>
      </w:r>
      <w:r>
        <w:t xml:space="preserve"> </w:t>
      </w:r>
      <w:r>
        <w:rPr>
          <w:bCs/>
          <w:b/>
        </w:rPr>
        <w:t xml:space="preserve">ECE is unstable across partitions</w:t>
      </w:r>
      <w:r>
        <w:rPr>
          <w:bCs/>
          <w:b/>
        </w:rPr>
        <w:t xml:space="preserve"> </w:t>
      </w:r>
      <w:r>
        <w:rPr>
          <w:bCs/>
          <w:b/>
        </w:rPr>
        <w:t xml:space="preserve">for every estimator except the ensemble</w:t>
      </w:r>
      <w:r>
        <w:t xml:space="preserve"> </w:t>
      </w:r>
      <w:r>
        <w:t xml:space="preserve">— which is itself a finding worth a paragraph, and</w:t>
      </w:r>
      <w:r>
        <w:t xml:space="preserve"> </w:t>
      </w:r>
      <w:r>
        <w:t xml:space="preserve">more interesting than the ranking. Add: bootstrap CIs, a bin-count sensitivity sweep,</w:t>
      </w:r>
      <w:r>
        <w:t xml:space="preserve"> </w:t>
      </w:r>
      <w:r>
        <w:t xml:space="preserve">class-conditional ECE (the danger class is the one that matters), multiclass Brier and NLL, and</w:t>
      </w:r>
      <w:r>
        <w:t xml:space="preserve"> </w:t>
      </w:r>
      <w:r>
        <w:t xml:space="preserve">reliability diagrams.</w:t>
      </w:r>
    </w:p>
    <w:p>
      <w:pPr>
        <w:pStyle w:val="BodyText"/>
      </w:pPr>
      <w:r>
        <w:rPr>
          <w:bCs/>
          <w:b/>
        </w:rPr>
        <w:t xml:space="preserve">§4.9 Edge.</w:t>
      </w:r>
      <w:r>
        <w:t xml:space="preserve"> </w:t>
      </w:r>
      <w:r>
        <w:t xml:space="preserve">The strongest results section. Reconcile the 503 ms (W7). State whether the INT8</w:t>
      </w:r>
      <w:r>
        <w:t xml:space="preserve"> </w:t>
      </w:r>
      <w:r>
        <w:t xml:space="preserve">false alarm (1/316; 95% CI ≤1.49%) is reproducible across seeds or a single event.</w:t>
      </w:r>
    </w:p>
    <w:p>
      <w:pPr>
        <w:pStyle w:val="BodyText"/>
      </w:pPr>
      <w:r>
        <w:rPr>
          <w:bCs/>
          <w:b/>
        </w:rPr>
        <w:t xml:space="preserve">§4.10 vs. prior work.</w:t>
      </w:r>
      <w:r>
        <w:t xml:space="preserve"> </w:t>
      </w:r>
      <w:r>
        <w:t xml:space="preserve">The interpretive paragraph is correct and well argued, but the table</w:t>
      </w:r>
      <w:r>
        <w:t xml:space="preserve"> </w:t>
      </w:r>
      <w:r>
        <w:t xml:space="preserve">places 94.44% in an accuracy column next to 99.7% figures measuring something else. Either split</w:t>
      </w:r>
      <w:r>
        <w:t xml:space="preserve"> </w:t>
      </w:r>
      <w:r>
        <w:t xml:space="preserve">the table into two columns with different headers, or add a column stating what each number</w:t>
      </w:r>
      <w:r>
        <w:t xml:space="preserve"> </w:t>
      </w:r>
      <w:r>
        <w:t xml:space="preserve">measures. As it stands, the table undercuts the paragraph beneath it.</w:t>
      </w:r>
    </w:p>
    <w:bookmarkEnd w:id="30"/>
    <w:bookmarkStart w:id="31" w:name="b.7-section-5-discussion"/>
    <w:p>
      <w:pPr>
        <w:pStyle w:val="Heading3"/>
      </w:pPr>
      <w:r>
        <w:t xml:space="preserve">B.7 Section 5 — Discussion</w:t>
      </w:r>
    </w:p>
    <w:p>
      <w:pPr>
        <w:pStyle w:val="FirstParagraph"/>
      </w:pPr>
      <w:r>
        <w:t xml:space="preserve">The weakest section relative to its importance, and the one where the most value is available.</w:t>
      </w:r>
    </w:p>
    <w:p>
      <w:pPr>
        <w:numPr>
          <w:ilvl w:val="0"/>
          <w:numId w:val="1016"/>
        </w:numPr>
        <w:pStyle w:val="Compact"/>
      </w:pPr>
      <w:r>
        <w:t xml:space="preserve">§5.1</w:t>
      </w:r>
      <w:r>
        <w:t xml:space="preserve"> </w:t>
      </w:r>
      <w:r>
        <w:t xml:space="preserve">“</w:t>
      </w:r>
      <w:r>
        <w:t xml:space="preserve">Key findings</w:t>
      </w:r>
      <w:r>
        <w:t xml:space="preserve">”</w:t>
      </w:r>
      <w:r>
        <w:t xml:space="preserve"> </w:t>
      </w:r>
      <w:r>
        <w:t xml:space="preserve">restates results without interpreting them. A DSEA Discussion should</w:t>
      </w:r>
      <w:r>
        <w:t xml:space="preserve"> </w:t>
      </w:r>
      <w:r>
        <w:t xml:space="preserve">answer: what changes for the operator; what would have to be true for this to deploy; what</w:t>
      </w:r>
      <w:r>
        <w:t xml:space="preserve"> </w:t>
      </w:r>
      <w:r>
        <w:t xml:space="preserve">the failure modes are; what the result implies for the wider ML-for-safety literature.</w:t>
      </w:r>
    </w:p>
    <w:p>
      <w:pPr>
        <w:numPr>
          <w:ilvl w:val="0"/>
          <w:numId w:val="1016"/>
        </w:numPr>
        <w:pStyle w:val="Compact"/>
      </w:pPr>
      <w:r>
        <w:t xml:space="preserve">The ablation claim is unsupported (W7).</w:t>
      </w:r>
    </w:p>
    <w:p>
      <w:pPr>
        <w:numPr>
          <w:ilvl w:val="0"/>
          <w:numId w:val="1016"/>
        </w:numPr>
        <w:pStyle w:val="Compact"/>
      </w:pPr>
      <w:r>
        <w:t xml:space="preserve">§5.3 is a bulleted summary of §4.5, not discussion — and contains the</w:t>
      </w:r>
      <w:r>
        <w:t xml:space="preserve"> </w:t>
      </w:r>
      <w:r>
        <w:t xml:space="preserve">“</w:t>
      </w:r>
      <w:r>
        <w:t xml:space="preserve">uniquely preserves</w:t>
      </w:r>
      <w:r>
        <w:t xml:space="preserve">”</w:t>
      </w:r>
      <w:r>
        <w:t xml:space="preserve"> </w:t>
      </w:r>
      <w:r>
        <w:t xml:space="preserve">overclaim (W3) and the concession</w:t>
      </w:r>
      <w:r>
        <w:t xml:space="preserve"> </w:t>
      </w:r>
      <w:r>
        <w:t xml:space="preserve">“</w:t>
      </w:r>
      <w:r>
        <w:t xml:space="preserve">Random Forest achieves the highest raw accuracy,</w:t>
      </w:r>
      <w:r>
        <w:t xml:space="preserve">”</w:t>
      </w:r>
      <w:r>
        <w:t xml:space="preserve"> </w:t>
      </w:r>
      <w:r>
        <w:t xml:space="preserve">which</w:t>
      </w:r>
      <w:r>
        <w:t xml:space="preserve"> </w:t>
      </w:r>
      <w:r>
        <w:t xml:space="preserve">appears nowhere in the Abstract or Conclusions.</w:t>
      </w:r>
      <w:r>
        <w:t xml:space="preserve"> </w:t>
      </w:r>
      <w:r>
        <w:rPr>
          <w:bCs/>
          <w:b/>
        </w:rPr>
        <w:t xml:space="preserve">Concessions must appear at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prominence as claims.</w:t>
      </w:r>
    </w:p>
    <w:p>
      <w:pPr>
        <w:numPr>
          <w:ilvl w:val="0"/>
          <w:numId w:val="1016"/>
        </w:numPr>
        <w:pStyle w:val="Compact"/>
      </w:pPr>
      <w:r>
        <w:t xml:space="preserve">Nothing on the economics. The paper’s premise is asymmetric error cost, yet no cost model</w:t>
      </w:r>
      <w:r>
        <w:t xml:space="preserve"> </w:t>
      </w:r>
      <w:r>
        <w:t xml:space="preserve">appears anywhere. At minimum, express the false-alarm rate as</w:t>
      </w:r>
      <w:r>
        <w:t xml:space="preserve"> </w:t>
      </w:r>
      <w:r>
        <w:rPr>
          <w:bCs/>
          <w:b/>
        </w:rPr>
        <w:t xml:space="preserve">alarms per operator per hour</w:t>
      </w:r>
      <w:r>
        <w:t xml:space="preserve"> </w:t>
      </w:r>
      <w:r>
        <w:t xml:space="preserve">against the EEMUA 191 envelope, and give the miss/false-alarm cost ratio at which the model</w:t>
      </w:r>
      <w:r>
        <w:t xml:space="preserve"> </w:t>
      </w:r>
      <w:r>
        <w:t xml:space="preserve">ranking inverts. This single addition would do more for the paper’s DSEA credibility than any</w:t>
      </w:r>
      <w:r>
        <w:t xml:space="preserve"> </w:t>
      </w:r>
      <w:r>
        <w:t xml:space="preserve">other change of comparable effort.</w:t>
      </w:r>
    </w:p>
    <w:p>
      <w:pPr>
        <w:numPr>
          <w:ilvl w:val="0"/>
          <w:numId w:val="1016"/>
        </w:numPr>
        <w:pStyle w:val="Compact"/>
      </w:pPr>
      <w:r>
        <w:t xml:space="preserve">Nothing on what it would take to certify any of this. See W10.</w:t>
      </w:r>
    </w:p>
    <w:bookmarkEnd w:id="31"/>
    <w:bookmarkStart w:id="32" w:name="b.8-section-6-limitations"/>
    <w:p>
      <w:pPr>
        <w:pStyle w:val="Heading3"/>
      </w:pPr>
      <w:r>
        <w:t xml:space="preserve">B.8 Section 6 — Limitations</w:t>
      </w:r>
    </w:p>
    <w:p>
      <w:pPr>
        <w:pStyle w:val="FirstParagraph"/>
      </w:pPr>
      <w:r>
        <w:t xml:space="preserve">Honest and well written, which counts for a lot — but incomplete. Missing:</w:t>
      </w:r>
    </w:p>
    <w:p>
      <w:pPr>
        <w:numPr>
          <w:ilvl w:val="0"/>
          <w:numId w:val="1017"/>
        </w:numPr>
        <w:pStyle w:val="Compact"/>
      </w:pPr>
      <w:r>
        <w:t xml:space="preserve">the surrogate-analyte limitation (W9.1);</w:t>
      </w:r>
    </w:p>
    <w:p>
      <w:pPr>
        <w:numPr>
          <w:ilvl w:val="0"/>
          <w:numId w:val="1017"/>
        </w:numPr>
        <w:pStyle w:val="Compact"/>
      </w:pPr>
      <w:r>
        <w:t xml:space="preserve">the single-session, single-device provenance of the entire corpus;</w:t>
      </w:r>
    </w:p>
    <w:p>
      <w:pPr>
        <w:numPr>
          <w:ilvl w:val="0"/>
          <w:numId w:val="1017"/>
        </w:numPr>
        <w:pStyle w:val="Compact"/>
      </w:pPr>
      <w:r>
        <w:t xml:space="preserve">the fixed, unseeded split and its effect on the reported variances (W4);</w:t>
      </w:r>
    </w:p>
    <w:p>
      <w:pPr>
        <w:numPr>
          <w:ilvl w:val="0"/>
          <w:numId w:val="1017"/>
        </w:numPr>
        <w:pStyle w:val="Compact"/>
      </w:pPr>
      <w:r>
        <w:t xml:space="preserve">the in-sample anomaly evaluation and the image split (W5, W6);</w:t>
      </w:r>
    </w:p>
    <w:p>
      <w:pPr>
        <w:numPr>
          <w:ilvl w:val="0"/>
          <w:numId w:val="1017"/>
        </w:numPr>
        <w:pStyle w:val="Compact"/>
      </w:pPr>
      <w:r>
        <w:t xml:space="preserve">the metric limitation: danger-miss counts only action 0 (W3);</w:t>
      </w:r>
    </w:p>
    <w:p>
      <w:pPr>
        <w:numPr>
          <w:ilvl w:val="0"/>
          <w:numId w:val="1017"/>
        </w:numPr>
        <w:pStyle w:val="Compact"/>
      </w:pPr>
      <w:r>
        <w:t xml:space="preserve">the fact that the deployed 8:1 configuration was selected on test-set variance (W8);</w:t>
      </w:r>
    </w:p>
    <w:p>
      <w:pPr>
        <w:numPr>
          <w:ilvl w:val="0"/>
          <w:numId w:val="1017"/>
        </w:numPr>
        <w:pStyle w:val="Compact"/>
      </w:pPr>
      <w:r>
        <w:t xml:space="preserve">the absence of any evaluation of the agentic components the paper is named after.</w:t>
      </w:r>
    </w:p>
    <w:p>
      <w:pPr>
        <w:pStyle w:val="FirstParagraph"/>
      </w:pPr>
      <w:r>
        <w:t xml:space="preserve">Also: limitations belong inside the Discussion or immediately before Conclusions, not as a</w:t>
      </w:r>
      <w:r>
        <w:t xml:space="preserve"> </w:t>
      </w:r>
      <w:r>
        <w:t xml:space="preserve">peer section. For SPE, fold this into §5 as</w:t>
      </w:r>
      <w:r>
        <w:t xml:space="preserve"> </w:t>
      </w:r>
      <w:r>
        <w:t xml:space="preserve">“</w:t>
      </w:r>
      <w:r>
        <w:t xml:space="preserve">Limitations and Threats to Validity.</w:t>
      </w:r>
      <w:r>
        <w:t xml:space="preserve">”</w:t>
      </w:r>
    </w:p>
    <w:bookmarkEnd w:id="32"/>
    <w:bookmarkStart w:id="33" w:name="b.9-section-7-conclusions"/>
    <w:p>
      <w:pPr>
        <w:pStyle w:val="Heading3"/>
      </w:pPr>
      <w:r>
        <w:t xml:space="preserve">B.9 Section 7 — Conclusions</w:t>
      </w:r>
    </w:p>
    <w:p>
      <w:pPr>
        <w:pStyle w:val="FirstParagraph"/>
      </w:pPr>
      <w:r>
        <w:t xml:space="preserve">Repeats the Abstract almost sentence for sentence, including both unsupported claims (W3, W4).</w:t>
      </w:r>
      <w:r>
        <w:t xml:space="preserve"> </w:t>
      </w:r>
      <w:r>
        <w:t xml:space="preserve">Conclusions should state what is now known that was not known before, at the level of the field</w:t>
      </w:r>
      <w:r>
        <w:t xml:space="preserve"> </w:t>
      </w:r>
      <w:r>
        <w:t xml:space="preserve">rather than the system. Rewritten in Part C.</w:t>
      </w:r>
    </w:p>
    <w:bookmarkEnd w:id="33"/>
    <w:bookmarkStart w:id="34" w:name="b.10-references-and-spe-style-compliance"/>
    <w:p>
      <w:pPr>
        <w:pStyle w:val="Heading3"/>
      </w:pPr>
      <w:r>
        <w:t xml:space="preserve">B.10 References and SPE style compliance</w:t>
      </w:r>
    </w:p>
    <w:p>
      <w:pPr>
        <w:pStyle w:val="FirstParagraph"/>
      </w:pPr>
      <w:r>
        <w:t xml:space="preserve">The reference list is currently in Elsevier numbered style.</w:t>
      </w:r>
      <w:r>
        <w:t xml:space="preserve"> </w:t>
      </w:r>
      <w:r>
        <w:rPr>
          <w:bCs/>
          <w:b/>
        </w:rPr>
        <w:t xml:space="preserve">SPE requires author-date.</w:t>
      </w:r>
      <w:r>
        <w:t xml:space="preserve"> </w:t>
      </w:r>
      <w:r>
        <w:t xml:space="preserve">Specifically (SPE Technical Publications Style Guide, 2022):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In-text citation</w:t>
            </w:r>
            <w:r>
              <w:t xml:space="preserve"> </w:t>
            </w:r>
            <w:r>
              <w:rPr>
                <w:rStyle w:val="VerbatimChar"/>
              </w:rPr>
              <w:t xml:space="preserve">(Author 2024)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Author (2024) showed…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convert 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list</w:t>
            </w:r>
            <w:r>
              <w:t xml:space="preserve"> </w:t>
            </w:r>
            <w:r>
              <w:rPr>
                <w:bCs/>
                <w:b/>
              </w:rPr>
              <w:t xml:space="preserve">alphabetized by first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 in citation order —</w:t>
            </w:r>
            <w:r>
              <w:t xml:space="preserve"> </w:t>
            </w:r>
            <w:r>
              <w:rPr>
                <w:bCs/>
                <w:b/>
              </w:rPr>
              <w:t xml:space="preserve">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three authors then</w:t>
            </w:r>
            <w:r>
              <w:t xml:space="preserve"> </w:t>
            </w:r>
            <w:r>
              <w:rPr>
                <w:rStyle w:val="VerbatimChar"/>
              </w:rPr>
              <w:t xml:space="preserve">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Mnih, V., et al.</w:t>
            </w:r>
            <w:r>
              <w:t xml:space="preserve"> </w:t>
            </w:r>
            <w:r>
              <w:t xml:space="preserve">(Ref 8) — malformed;</w:t>
            </w:r>
            <w:r>
              <w:t xml:space="preserve"> </w:t>
            </w:r>
            <w:r>
              <w:rPr>
                <w:rStyle w:val="VerbatimChar"/>
              </w:rPr>
              <w:t xml:space="preserve">Ma, R., et al.</w:t>
            </w:r>
            <w:r>
              <w:t xml:space="preserve"> </w:t>
            </w:r>
            <w:r>
              <w:t xml:space="preserve">(21);</w:t>
            </w:r>
            <w:r>
              <w:t xml:space="preserve"> </w:t>
            </w:r>
            <w:r>
              <w:rPr>
                <w:rStyle w:val="VerbatimChar"/>
              </w:rPr>
              <w:t xml:space="preserve">Dehnaw, A.M., et al.</w:t>
            </w:r>
            <w:r>
              <w:t xml:space="preserve"> </w:t>
            </w:r>
            <w:r>
              <w:t xml:space="preserve">(13);</w:t>
            </w:r>
            <w:r>
              <w:t xml:space="preserve"> </w:t>
            </w:r>
            <w:r>
              <w:rPr>
                <w:rStyle w:val="VerbatimChar"/>
              </w:rPr>
              <w:t xml:space="preserve">Sharma, A., et al.</w:t>
            </w:r>
            <w:r>
              <w:t xml:space="preserve"> </w:t>
            </w:r>
            <w:r>
              <w:t xml:space="preserve">(25)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 paper numbers mandatory (</w:t>
            </w:r>
            <w:r>
              <w:rPr>
                <w:rStyle w:val="VerbatimChar"/>
              </w:rPr>
              <w:t xml:space="preserve">SPE-123456-PA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for some conference papers;</w:t>
            </w:r>
            <w:r>
              <w:t xml:space="preserve"> </w:t>
            </w:r>
            <w:r>
              <w:rPr>
                <w:bCs/>
                <w:b/>
              </w:rPr>
              <w:t xml:space="preserve">missing for the SPE Journal articles</w:t>
            </w:r>
            <w:r>
              <w:t xml:space="preserve"> </w:t>
            </w:r>
            <w:r>
              <w:t xml:space="preserve">(Refs 6,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 as hyperlink (</w:t>
            </w:r>
            <w:r>
              <w:rPr>
                <w:rStyle w:val="VerbatimChar"/>
              </w:rPr>
              <w:t xml:space="preserve">https://doi.org/…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throughout —</w:t>
            </w:r>
            <w:r>
              <w:t xml:space="preserve"> </w:t>
            </w:r>
            <w:r>
              <w:rPr>
                <w:bCs/>
                <w:b/>
              </w:rPr>
              <w:t xml:space="preserve">add for every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Eq.</w:t>
            </w:r>
            <w:r>
              <w:t xml:space="preserve"> </w:t>
            </w:r>
            <w:r>
              <w:t xml:space="preserve">abbreviated;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Appendix</w:t>
            </w:r>
            <w:r>
              <w:t xml:space="preserve"> </w:t>
            </w:r>
            <w:r>
              <w:t xml:space="preserve">spelled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Abbreviations defined at first use; only for terms used ≥5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ARXIS, DQN, ECE, LOCO, MQ, ROC-AUC, INT8, P99 — audit and define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Nomenclature 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 — SPE expects one.</w:t>
            </w:r>
            <w:r>
              <w:t xml:space="preserve"> </w:t>
            </w:r>
            <w:r>
              <w:t xml:space="preserve">Add: a, A, A*, E_t, G, I_t, X_t, φ_t, ρ̃_t, δ_t, σ_t, τ, ε, g_t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units with oil-field equivalents where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format</w:t>
            </w:r>
            <w:r>
              <w:t xml:space="preserve"> </w:t>
            </w:r>
            <w:r>
              <w:t xml:space="preserve">“</w:t>
            </w:r>
            <w:r>
              <w:t xml:space="preserve">5 May 2017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Summary</w:t>
            </w:r>
            <w:r>
              <w:t xml:space="preserve">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</w:t>
            </w:r>
            <w:r>
              <w:t xml:space="preserve">Abstract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Rename</w:t>
            </w:r>
          </w:p>
        </w:tc>
      </w:tr>
    </w:tbl>
    <w:p>
      <w:pPr>
        <w:pStyle w:val="BodyText"/>
      </w:pPr>
      <w:r>
        <w:t xml:space="preserve">Specific reference defects: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[6] Liang et al. 2024 is in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SPE Production &amp; Operations</w:t>
      </w:r>
      <w:r>
        <w:rPr>
          <w:bCs/>
          <w:b/>
        </w:rPr>
        <w:t xml:space="preserve"> </w:t>
      </w:r>
      <w:r>
        <w:rPr>
          <w:bCs/>
          <w:b/>
        </w:rPr>
        <w:t xml:space="preserve">38 (3): 513–…, not SPE Journal.</w:t>
      </w:r>
      <w:r>
        <w:t xml:space="preserve"> </w:t>
      </w:r>
      <w:r>
        <w:t xml:space="preserve">Correct it and add the SPE paper number and DOI. [CITATION NEEDED — verify SPE number]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[14] Google DeepMind, 2024,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Gemma</w:t>
      </w:r>
      <w:r>
        <w:rPr>
          <w:bCs/>
          <w:b/>
        </w:rPr>
        <w:t xml:space="preserve">”</w:t>
      </w:r>
      <w:r>
        <w:t xml:space="preserve"> </w:t>
      </w:r>
      <w:r>
        <w:t xml:space="preserve">is cited for</w:t>
      </w:r>
      <w:r>
        <w:t xml:space="preserve"> </w:t>
      </w:r>
      <w:r>
        <w:rPr>
          <w:bCs/>
          <w:b/>
        </w:rPr>
        <w:t xml:space="preserve">Gemma 3 1B</w:t>
      </w:r>
      <w:r>
        <w:t xml:space="preserve">, which is a later release.</w:t>
      </w:r>
      <w:r>
        <w:t xml:space="preserve"> </w:t>
      </w:r>
      <w:r>
        <w:t xml:space="preserve">Cite the Gemma 3 technical report with its correct year. [CITATION NEEDED]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[18] YOLOv7</w:t>
      </w:r>
      <w:r>
        <w:t xml:space="preserve"> </w:t>
      </w:r>
      <w:r>
        <w:t xml:space="preserve">is cited to support a statement about the YOLO family while the system uses</w:t>
      </w:r>
      <w:r>
        <w:t xml:space="preserve"> </w:t>
      </w:r>
      <w:r>
        <w:t xml:space="preserve">YOLOv8 [22]. Either cite YOLOv8 directly or make the family claim explicitly historical.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[19]/[20]</w:t>
      </w:r>
      <w:r>
        <w:t xml:space="preserve"> </w:t>
      </w:r>
      <w:r>
        <w:t xml:space="preserve">— Narkhede et al. appear as both the 2021 method paper and the 2022 data paper;</w:t>
      </w:r>
      <w:r>
        <w:t xml:space="preserve"> </w:t>
      </w:r>
      <w:r>
        <w:t xml:space="preserve">the dataset should be cited as the 2022</w:t>
      </w:r>
      <w:r>
        <w:t xml:space="preserve"> </w:t>
      </w:r>
      <w:r>
        <w:rPr>
          <w:iCs/>
          <w:i/>
        </w:rPr>
        <w:t xml:space="preserve">Data</w:t>
      </w:r>
      <w:r>
        <w:t xml:space="preserve"> </w:t>
      </w:r>
      <w:r>
        <w:t xml:space="preserve">descriptor with its Mendeley DOI and CC BY 4.0</w:t>
      </w:r>
      <w:r>
        <w:t xml:space="preserve"> </w:t>
      </w:r>
      <w:r>
        <w:t xml:space="preserve">licence, and the licence should be acknowledged.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[26]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Zhang, E., Zhang, E.</w:t>
      </w:r>
      <w:r>
        <w:rPr>
          <w:bCs/>
          <w:b/>
        </w:rPr>
        <w:t xml:space="preserve">”</w:t>
      </w:r>
      <w:r>
        <w:t xml:space="preserve"> </w:t>
      </w:r>
      <w:r>
        <w:t xml:space="preserve">is cited as a</w:t>
      </w:r>
      <w:r>
        <w:t xml:space="preserve"> </w:t>
      </w:r>
      <w:r>
        <w:t xml:space="preserve">“</w:t>
      </w:r>
      <w:r>
        <w:t xml:space="preserve">Transformer classifier</w:t>
      </w:r>
      <w:r>
        <w:t xml:space="preserve">”</w:t>
      </w:r>
      <w:r>
        <w:t xml:space="preserve"> </w:t>
      </w:r>
      <w:r>
        <w:t xml:space="preserve">in Table 12; the title</w:t>
      </w:r>
      <w:r>
        <w:t xml:space="preserve"> </w:t>
      </w:r>
      <w:r>
        <w:t xml:space="preserve">in the reference list says</w:t>
      </w:r>
      <w:r>
        <w:t xml:space="preserve"> </w:t>
      </w:r>
      <w:r>
        <w:t xml:space="preserve">“</w:t>
      </w:r>
      <w:r>
        <w:t xml:space="preserve">optimized deep forest classifier.</w:t>
      </w:r>
      <w:r>
        <w:t xml:space="preserve">”</w:t>
      </w:r>
      <w:r>
        <w:t xml:space="preserve"> </w:t>
      </w:r>
      <w:r>
        <w:t xml:space="preserve">Fix the method description.</w:t>
      </w:r>
    </w:p>
    <w:p>
      <w:pPr>
        <w:numPr>
          <w:ilvl w:val="0"/>
          <w:numId w:val="1018"/>
        </w:numPr>
        <w:pStyle w:val="Compact"/>
      </w:pPr>
      <w:r>
        <w:t xml:space="preserve">Refs [1], [2] support the alarm-flood argument well. Consider adding EEMUA 191 and ISA-18.2 as</w:t>
      </w:r>
      <w:r>
        <w:t xml:space="preserve"> </w:t>
      </w:r>
      <w:r>
        <w:t xml:space="preserve">standards citations. [CITATION NEEDED]</w:t>
      </w:r>
    </w:p>
    <w:p>
      <w:pPr>
        <w:numPr>
          <w:ilvl w:val="0"/>
          <w:numId w:val="1018"/>
        </w:numPr>
        <w:pStyle w:val="Compact"/>
      </w:pPr>
      <w:r>
        <w:t xml:space="preserve">Add: Dennler et al. (2022) on MOX benchmark drift; Elkan (2001) on cost-sensitive learning;</w:t>
      </w:r>
      <w:r>
        <w:t xml:space="preserve"> </w:t>
      </w:r>
      <w:r>
        <w:t xml:space="preserve">Bouthillier et al. (2021) and Benavoli et al. (2017) on ML comparison methodology; Clopper &amp;</w:t>
      </w:r>
      <w:r>
        <w:t xml:space="preserve"> </w:t>
      </w:r>
      <w:r>
        <w:t xml:space="preserve">Pearson (1934). [CITATION NEEDED for all]</w:t>
      </w:r>
    </w:p>
    <w:bookmarkEnd w:id="34"/>
    <w:bookmarkStart w:id="35" w:name="b.11-figures"/>
    <w:p>
      <w:pPr>
        <w:pStyle w:val="Heading3"/>
      </w:pPr>
      <w:r>
        <w:t xml:space="preserve">B.11 Figures</w:t>
      </w:r>
    </w:p>
    <w:p>
      <w:pPr>
        <w:pStyle w:val="FirstParagraph"/>
      </w:pPr>
      <w:r>
        <w:t xml:space="preserve">Eleven figures for a paper with this much unreported material is a poor allocation. Figs. 3, 4,</w:t>
      </w:r>
      <w:r>
        <w:t xml:space="preserve"> </w:t>
      </w:r>
      <w:r>
        <w:t xml:space="preserve">5, 6, 8 and 9 are six figures spent on two component models. Consolidate to two, and spend the</w:t>
      </w:r>
      <w:r>
        <w:t xml:space="preserve"> </w:t>
      </w:r>
      <w:r>
        <w:t xml:space="preserve">budget on: the LOCO escalation result (currently no figure), the cost-ratio sweep (currently</w:t>
      </w:r>
      <w:r>
        <w:t xml:space="preserve"> </w:t>
      </w:r>
      <w:r>
        <w:t xml:space="preserve">absent), and the perturbation breakdown curves. Fig. 7 should be deleted with the training-</w:t>
      </w:r>
      <w:r>
        <w:t xml:space="preserve"> </w:t>
      </w:r>
      <w:r>
        <w:t xml:space="preserve">dynamics text (W1).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d.-final-recommendations"/>
    <w:p>
      <w:pPr>
        <w:pStyle w:val="Heading2"/>
      </w:pPr>
      <w:r>
        <w:t xml:space="preserve">D. Final Recommendations</w:t>
      </w:r>
    </w:p>
    <w:bookmarkStart w:id="37" w:name="X5aa9675a8b4cc792994cb6ed916e0d1400a4393"/>
    <w:p>
      <w:pPr>
        <w:pStyle w:val="Heading3"/>
      </w:pPr>
      <w:r>
        <w:t xml:space="preserve">D.1 Blocking — must be resolved before any submission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Correct the Decision Agent description</w:t>
      </w:r>
      <w:r>
        <w:t xml:space="preserve"> </w:t>
      </w:r>
      <w:r>
        <w:t xml:space="preserve">to cost-sensitive supervised learning against</w:t>
      </w:r>
      <w:r>
        <w:t xml:space="preserve"> </w:t>
      </w:r>
      <w:r>
        <w:t xml:space="preserve">rule-oracle targets. Remove all reward, episode, ε-greedy, replay, Q-value and</w:t>
      </w:r>
      <w:r>
        <w:t xml:space="preserve"> </w:t>
      </w:r>
      <w:r>
        <w:t xml:space="preserve">“</w:t>
      </w:r>
      <w:r>
        <w:t xml:space="preserve">reinforcement</w:t>
      </w:r>
      <w:r>
        <w:t xml:space="preserve"> </w:t>
      </w:r>
      <w:r>
        <w:t xml:space="preserve">learning</w:t>
      </w:r>
      <w:r>
        <w:t xml:space="preserve">”</w:t>
      </w:r>
      <w:r>
        <w:t xml:space="preserve"> </w:t>
      </w:r>
      <w:r>
        <w:t xml:space="preserve">language from Sections 1, 3, 4 and 5 unless an RL experiment is actually run and</w:t>
      </w:r>
      <w:r>
        <w:t xml:space="preserve"> </w:t>
      </w:r>
      <w:r>
        <w:t xml:space="preserve">reported. Delete Fig. 7 and §4.4</w:t>
      </w:r>
      <w:r>
        <w:t xml:space="preserve"> </w:t>
      </w:r>
      <w:r>
        <w:t xml:space="preserve">“</w:t>
      </w:r>
      <w:r>
        <w:t xml:space="preserve">Training dynamics.</w:t>
      </w:r>
      <w:r>
        <w:t xml:space="preserve">”</w:t>
      </w:r>
      <w:r>
        <w:t xml:space="preserve"> </w:t>
      </w:r>
      <w:r>
        <w:rPr>
          <w:iCs/>
          <w:i/>
        </w:rPr>
        <w:t xml:space="preserve">(W1)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Delete the α = 0.05 significance claim</w:t>
      </w:r>
      <w:r>
        <w:t xml:space="preserve"> </w:t>
      </w:r>
      <w:r>
        <w:t xml:space="preserve">from the Summary, §4.5, §5.3 and §7. Replace with</w:t>
      </w:r>
      <w:r>
        <w:t xml:space="preserve"> </w:t>
      </w:r>
      <w:r>
        <w:t xml:space="preserve">either an explicit underpowered-design statement or a ROPE-based equivalence analysis.</w:t>
      </w:r>
      <w:r>
        <w:t xml:space="preserve"> </w:t>
      </w:r>
      <w:r>
        <w:rPr>
          <w:iCs/>
          <w:i/>
        </w:rPr>
        <w:t xml:space="preserve">(W4)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Report the LOCO escalation column</w:t>
      </w:r>
      <w:r>
        <w:t xml:space="preserve">, including the finding that ARXIS escalates ~30% of</w:t>
      </w:r>
      <w:r>
        <w:t xml:space="preserve"> </w:t>
      </w:r>
      <w:r>
        <w:t xml:space="preserve">unseen Mixture windows while GBM escalates 100%. Remove</w:t>
      </w:r>
      <w:r>
        <w:t xml:space="preserve"> </w:t>
      </w:r>
      <w:r>
        <w:t xml:space="preserve">“</w:t>
      </w:r>
      <w:r>
        <w:t xml:space="preserve">uniquely.</w:t>
      </w:r>
      <w:r>
        <w:t xml:space="preserve">”</w:t>
      </w:r>
      <w:r>
        <w:t xml:space="preserve"> </w:t>
      </w:r>
      <w:r>
        <w:rPr>
          <w:iCs/>
          <w:i/>
        </w:rPr>
        <w:t xml:space="preserve">(W3)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Resolve the decision-vs-classification identity</w:t>
      </w:r>
      <w:r>
        <w:t xml:space="preserve"> </w:t>
      </w:r>
      <w:r>
        <w:t xml:space="preserve">— adopt framing (a) or (b) from W2 — and</w:t>
      </w:r>
      <w:r>
        <w:t xml:space="preserve"> </w:t>
      </w:r>
      <w:r>
        <w:t xml:space="preserve">relabel the rule-oracle row as the label function it is.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Re-evaluate the autoencoder out-of-sample</w:t>
      </w:r>
      <w:r>
        <w:t xml:space="preserve">, or correct the text describing how τ was</w:t>
      </w:r>
      <w:r>
        <w:t xml:space="preserve"> </w:t>
      </w:r>
      <w:r>
        <w:t xml:space="preserve">fitted.</w:t>
      </w:r>
      <w:r>
        <w:t xml:space="preserve"> </w:t>
      </w:r>
      <w:r>
        <w:rPr>
          <w:iCs/>
          <w:i/>
        </w:rPr>
        <w:t xml:space="preserve">(W5)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Re-split the thermal images block-wise</w:t>
      </w:r>
      <w:r>
        <w:t xml:space="preserve"> </w:t>
      </w:r>
      <w:r>
        <w:t xml:space="preserve">and re-report, or remove the unsupported assertion</w:t>
      </w:r>
      <w:r>
        <w:t xml:space="preserve"> </w:t>
      </w:r>
      <w:r>
        <w:t xml:space="preserve">that image-level leakage is not a risk.</w:t>
      </w:r>
      <w:r>
        <w:t xml:space="preserve"> </w:t>
      </w:r>
      <w:r>
        <w:rPr>
          <w:iCs/>
          <w:i/>
        </w:rPr>
        <w:t xml:space="preserve">(W6)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Reconcile every number</w:t>
      </w:r>
      <w:r>
        <w:t xml:space="preserve"> </w:t>
      </w:r>
      <w:r>
        <w:t xml:space="preserve">that appears twice with two values: 94.44% vs. 0.9633; MLP 98.20%</w:t>
      </w:r>
      <w:r>
        <w:t xml:space="preserve"> </w:t>
      </w:r>
      <w:r>
        <w:t xml:space="preserve">vs. 0.9616; 503 ms; window counts 6,324 / 6,380 / 1,581×4.</w:t>
      </w:r>
      <w:r>
        <w:t xml:space="preserve"> </w:t>
      </w:r>
      <w:r>
        <w:rPr>
          <w:iCs/>
          <w:i/>
        </w:rPr>
        <w:t xml:space="preserve">(W7)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Add or delete the decision-state ablation.</w:t>
      </w:r>
      <w:r>
        <w:t xml:space="preserve"> </w:t>
      </w:r>
      <w:r>
        <w:rPr>
          <w:iCs/>
          <w:i/>
        </w:rPr>
        <w:t xml:space="preserve">(W7)</w:t>
      </w:r>
    </w:p>
    <w:bookmarkEnd w:id="37"/>
    <w:bookmarkStart w:id="38" w:name="X82cb6cd9ce98fba0275f1d2b0961a7290b0a571"/>
    <w:p>
      <w:pPr>
        <w:pStyle w:val="Heading3"/>
      </w:pPr>
      <w:r>
        <w:t xml:space="preserve">D.2 Expected by reviewers — do before submission</w:t>
      </w:r>
    </w:p>
    <w:p>
      <w:pPr>
        <w:numPr>
          <w:ilvl w:val="0"/>
          <w:numId w:val="1020"/>
        </w:numPr>
        <w:pStyle w:val="Compact"/>
      </w:pPr>
      <w:r>
        <w:t xml:space="preserve">Add false-alarm rate and mean action severity to every perturbation row.</w:t>
      </w:r>
      <w:r>
        <w:t xml:space="preserve"> </w:t>
      </w:r>
      <w:r>
        <w:rPr>
          <w:iCs/>
          <w:i/>
        </w:rPr>
        <w:t xml:space="preserve">(W12)</w:t>
      </w:r>
    </w:p>
    <w:p>
      <w:pPr>
        <w:numPr>
          <w:ilvl w:val="0"/>
          <w:numId w:val="1020"/>
        </w:numPr>
        <w:pStyle w:val="Compact"/>
      </w:pPr>
      <w:r>
        <w:t xml:space="preserve">Report Clopper–Pearson upper bounds on every zero-miss and zero-false-alarm claim, including</w:t>
      </w:r>
      <w:r>
        <w:t xml:space="preserve"> </w:t>
      </w:r>
      <w:r>
        <w:t xml:space="preserve">the headline ones, and state the sample size a SIL-relevant claim would require</w:t>
      </w:r>
      <w:r>
        <w:t xml:space="preserve"> </w:t>
      </w:r>
      <w:r>
        <w:t xml:space="preserve">(n ≈ 2,995 zero-miss observations for ≤10⁻³ at 95% confidence).</w:t>
      </w:r>
    </w:p>
    <w:p>
      <w:pPr>
        <w:numPr>
          <w:ilvl w:val="0"/>
          <w:numId w:val="1020"/>
        </w:numPr>
        <w:pStyle w:val="Compact"/>
      </w:pPr>
      <w:r>
        <w:t xml:space="preserve">Add the cost-ratio sweep to the paper and state the negative result honestly.</w:t>
      </w:r>
      <w:r>
        <w:t xml:space="preserve"> </w:t>
      </w:r>
      <w:r>
        <w:rPr>
          <w:iCs/>
          <w:i/>
        </w:rPr>
        <w:t xml:space="preserve">(W8)</w:t>
      </w:r>
    </w:p>
    <w:p>
      <w:pPr>
        <w:numPr>
          <w:ilvl w:val="0"/>
          <w:numId w:val="1020"/>
        </w:numPr>
        <w:pStyle w:val="Compact"/>
      </w:pPr>
      <w:r>
        <w:t xml:space="preserve">Add CUSUM/SPRT, a deployable threshold rule, and k-NN as baselines.</w:t>
      </w:r>
      <w:r>
        <w:t xml:space="preserve"> </w:t>
      </w:r>
      <w:r>
        <w:rPr>
          <w:iCs/>
          <w:i/>
        </w:rPr>
        <w:t xml:space="preserve">(W11)</w:t>
      </w:r>
    </w:p>
    <w:p>
      <w:pPr>
        <w:numPr>
          <w:ilvl w:val="0"/>
          <w:numId w:val="1020"/>
        </w:numPr>
        <w:pStyle w:val="Compact"/>
      </w:pPr>
      <w:r>
        <w:t xml:space="preserve">Add the functional-safety positioning paragraph: advisory layer, independent ESD, unplugged</w:t>
      </w:r>
      <w:r>
        <w:t xml:space="preserve"> </w:t>
      </w:r>
      <w:r>
        <w:t xml:space="preserve">case.</w:t>
      </w:r>
      <w:r>
        <w:t xml:space="preserve"> </w:t>
      </w:r>
      <w:r>
        <w:rPr>
          <w:iCs/>
          <w:i/>
        </w:rPr>
        <w:t xml:space="preserve">(W10)</w:t>
      </w:r>
    </w:p>
    <w:p>
      <w:pPr>
        <w:numPr>
          <w:ilvl w:val="0"/>
          <w:numId w:val="1020"/>
        </w:numPr>
        <w:pStyle w:val="Compact"/>
      </w:pPr>
      <w:r>
        <w:t xml:space="preserve">Convert to SPE author-date style, alphabetize the reference list, add DOIs and SPE paper</w:t>
      </w:r>
      <w:r>
        <w:t xml:space="preserve"> </w:t>
      </w:r>
      <w:r>
        <w:t xml:space="preserve">numbers, add a Nomenclature section, rename Abstract → Summary, and fix the miscitations in</w:t>
      </w:r>
      <w:r>
        <w:t xml:space="preserve"> </w:t>
      </w:r>
      <w:r>
        <w:t xml:space="preserve">B.10.</w:t>
      </w:r>
    </w:p>
    <w:p>
      <w:pPr>
        <w:numPr>
          <w:ilvl w:val="0"/>
          <w:numId w:val="1020"/>
        </w:numPr>
        <w:pStyle w:val="Compact"/>
      </w:pPr>
      <w:r>
        <w:t xml:space="preserve">Anchor the paper to a named asset class and state the surrogate-analyte limitation in the</w:t>
      </w:r>
      <w:r>
        <w:t xml:space="preserve"> </w:t>
      </w:r>
      <w:r>
        <w:t xml:space="preserve">Summary.</w:t>
      </w:r>
      <w:r>
        <w:t xml:space="preserve"> </w:t>
      </w:r>
      <w:r>
        <w:rPr>
          <w:iCs/>
          <w:i/>
        </w:rPr>
        <w:t xml:space="preserve">(W9)</w:t>
      </w:r>
    </w:p>
    <w:p>
      <w:pPr>
        <w:numPr>
          <w:ilvl w:val="0"/>
          <w:numId w:val="1020"/>
        </w:numPr>
        <w:pStyle w:val="Compact"/>
      </w:pPr>
      <w:r>
        <w:t xml:space="preserve">Express false-alarm rate as alarms per operator per hour against the EEMUA 191 envelope, and</w:t>
      </w:r>
      <w:r>
        <w:t xml:space="preserve"> </w:t>
      </w:r>
      <w:r>
        <w:t xml:space="preserve">give the cost ratio at which model ranking inverts.</w:t>
      </w:r>
    </w:p>
    <w:bookmarkEnd w:id="38"/>
    <w:bookmarkStart w:id="39" w:name="Xcef33d1dad980610aec752535a34a265b2afcd9"/>
    <w:p>
      <w:pPr>
        <w:pStyle w:val="Heading3"/>
      </w:pPr>
      <w:r>
        <w:t xml:space="preserve">D.3 Would materially strengthen the paper — Tier 3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 leakage-sensitivity table</w:t>
      </w:r>
      <w:r>
        <w:t xml:space="preserve"> </w:t>
      </w:r>
      <w:r>
        <w:t xml:space="preserve">— random k-fold vs. blocked vs. purged-with-embargo vs.</w:t>
      </w:r>
      <w:r>
        <w:t xml:space="preserve"> </w:t>
      </w:r>
      <w:r>
        <w:t xml:space="preserve">leave-one-session-out on the same models. The gap between the first and last rows would be a</w:t>
      </w:r>
      <w:r>
        <w:t xml:space="preserve"> </w:t>
      </w:r>
      <w:r>
        <w:t xml:space="preserve">headline result and would position the paper against Dennler et al. (2022).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Class-conditional conformal prediction on the danger class</w:t>
      </w:r>
      <w:r>
        <w:t xml:space="preserve">, mapping prediction sets onto</w:t>
      </w:r>
      <w:r>
        <w:t xml:space="preserve"> </w:t>
      </w:r>
      <w:r>
        <w:t xml:space="preserve">the escalation ladder. This is the strongest single technical addition available and it</w:t>
      </w:r>
      <w:r>
        <w:t xml:space="preserve"> </w:t>
      </w:r>
      <w:r>
        <w:t xml:space="preserve">converts</w:t>
      </w:r>
      <w:r>
        <w:t xml:space="preserve"> </w:t>
      </w:r>
      <w:r>
        <w:t xml:space="preserve">“</w:t>
      </w:r>
      <w:r>
        <w:t xml:space="preserve">zero misses observed</w:t>
      </w:r>
      <w:r>
        <w:t xml:space="preserve">”</w:t>
      </w:r>
      <w:r>
        <w:t xml:space="preserve"> </w:t>
      </w:r>
      <w:r>
        <w:t xml:space="preserve">into a distribution-free statement with a coverage guarantee.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 second corpus containing a real hydrocarbon release</w:t>
      </w:r>
      <w:r>
        <w:t xml:space="preserve"> </w:t>
      </w:r>
      <w:r>
        <w:t xml:space="preserve">(a controlled-release facility</w:t>
      </w:r>
      <w:r>
        <w:t xml:space="preserve"> </w:t>
      </w:r>
      <w:r>
        <w:t xml:space="preserve">dataset, or thermal/optical gas-imaging data). Without one, external validity to petroleum</w:t>
      </w:r>
      <w:r>
        <w:t xml:space="preserve"> </w:t>
      </w:r>
      <w:r>
        <w:t xml:space="preserve">operations remains asserted rather than shown. Published work crossing this gap has seen</w:t>
      </w:r>
      <w:r>
        <w:t xml:space="preserve"> </w:t>
      </w:r>
      <w:r>
        <w:t xml:space="preserve">99.7% fall to ~95%.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 FMEA of the framework itself</w:t>
      </w:r>
      <w:r>
        <w:t xml:space="preserve">, treating the LLM as a component with failure modes</w:t>
      </w:r>
      <w:r>
        <w:t xml:space="preserve"> </w:t>
      </w:r>
      <w:r>
        <w:t xml:space="preserve">(hallucination, omission, latency, silent degradation). For a process-safety audience this</w:t>
      </w:r>
      <w:r>
        <w:t xml:space="preserve"> </w:t>
      </w:r>
      <w:r>
        <w:t xml:space="preserve">is the single most persuasive addition available.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≥29 randomized runs</w:t>
      </w:r>
      <w:r>
        <w:t xml:space="preserve"> </w:t>
      </w:r>
      <w:r>
        <w:t xml:space="preserve">varying seed, split, augmentation and hyperparameter draw, with</w:t>
      </w:r>
      <w:r>
        <w:t xml:space="preserve"> </w:t>
      </w:r>
      <w:r>
        <w:t xml:space="preserve">effect sizes and bootstrap CIs.</w:t>
      </w:r>
    </w:p>
    <w:bookmarkEnd w:id="39"/>
    <w:bookmarkStart w:id="40" w:name="X471a3f36e218b045707e2c94e310db65cf7b57f"/>
    <w:p>
      <w:pPr>
        <w:pStyle w:val="Heading3"/>
      </w:pPr>
      <w:r>
        <w:t xml:space="preserve">D.4 What needs human judgement, not editing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The scope decision.</w:t>
      </w:r>
      <w:r>
        <w:t xml:space="preserve"> </w:t>
      </w:r>
      <w:r>
        <w:t xml:space="preserve">Is this a benchmark study establishing an evaluation protocol</w:t>
      </w:r>
      <w:r>
        <w:t xml:space="preserve"> </w:t>
      </w:r>
      <w:r>
        <w:t xml:space="preserve">(defensible now, ~7/10 at SPE with the repairs above), or a system paper about an agentic</w:t>
      </w:r>
      <w:r>
        <w:t xml:space="preserve"> </w:t>
      </w:r>
      <w:r>
        <w:t xml:space="preserve">framework (not defensible until the agentic layer has an experiment attached)? The manuscript</w:t>
      </w:r>
      <w:r>
        <w:t xml:space="preserve"> </w:t>
      </w:r>
      <w:r>
        <w:t xml:space="preserve">currently claims the second and delivers the first. Choose deliberately.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Venue.</w:t>
      </w:r>
      <w:r>
        <w:t xml:space="preserve"> </w:t>
      </w:r>
      <w:r>
        <w:t xml:space="preserve">If the surrogate-analyte problem cannot be addressed with a second corpus, SPE</w:t>
      </w:r>
      <w:r>
        <w:t xml:space="preserve"> </w:t>
      </w:r>
      <w:r>
        <w:t xml:space="preserve">Journal DSEA is a hard sell on relevance regardless of technical quality — the reviewers will</w:t>
      </w:r>
      <w:r>
        <w:t xml:space="preserve"> </w:t>
      </w:r>
      <w:r>
        <w:t xml:space="preserve">ask what changed for an operator, and</w:t>
      </w:r>
      <w:r>
        <w:t xml:space="preserve"> </w:t>
      </w:r>
      <w:r>
        <w:t xml:space="preserve">“</w:t>
      </w:r>
      <w:r>
        <w:t xml:space="preserve">we evaluated on incense and deodorant</w:t>
      </w:r>
      <w:r>
        <w:t xml:space="preserve">”</w:t>
      </w:r>
      <w:r>
        <w:t xml:space="preserve"> </w:t>
      </w:r>
      <w:r>
        <w:t xml:space="preserve">is a difficult</w:t>
      </w:r>
      <w:r>
        <w:t xml:space="preserve"> </w:t>
      </w:r>
      <w:r>
        <w:t xml:space="preserve">answer. Alternatives worth weighing:</w:t>
      </w:r>
      <w:r>
        <w:t xml:space="preserve"> </w:t>
      </w:r>
      <w:r>
        <w:rPr>
          <w:iCs/>
          <w:i/>
        </w:rPr>
        <w:t xml:space="preserve">Process Safety and Environmental Protection</w:t>
      </w:r>
      <w:r>
        <w:t xml:space="preserve">,</w:t>
      </w:r>
      <w:r>
        <w:t xml:space="preserve"> </w:t>
      </w:r>
      <w:r>
        <w:rPr>
          <w:iCs/>
          <w:i/>
        </w:rPr>
        <w:t xml:space="preserve">Journal</w:t>
      </w:r>
      <w:r>
        <w:rPr>
          <w:iCs/>
          <w:i/>
        </w:rPr>
        <w:t xml:space="preserve"> </w:t>
      </w:r>
      <w:r>
        <w:rPr>
          <w:iCs/>
          <w:i/>
        </w:rPr>
        <w:t xml:space="preserve">of Loss Prevention in the Process Industries</w:t>
      </w:r>
      <w:r>
        <w:t xml:space="preserve">, or</w:t>
      </w:r>
      <w:r>
        <w:t xml:space="preserve"> </w:t>
      </w:r>
      <w:r>
        <w:rPr>
          <w:iCs/>
          <w:i/>
        </w:rPr>
        <w:t xml:space="preserve">SPE Production &amp; Operations</w:t>
      </w:r>
      <w:r>
        <w:t xml:space="preserve"> </w:t>
      </w:r>
      <w:r>
        <w:t xml:space="preserve">(where the</w:t>
      </w:r>
      <w:r>
        <w:t xml:space="preserve"> </w:t>
      </w:r>
      <w:r>
        <w:t xml:space="preserve">Liang et al. leak-detection paper appeared, and where a facilities-monitoring framing fits</w:t>
      </w:r>
      <w:r>
        <w:t xml:space="preserve"> </w:t>
      </w:r>
      <w:r>
        <w:t xml:space="preserve">more naturally).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Author verification of every number</w:t>
      </w:r>
      <w:r>
        <w:t xml:space="preserve"> </w:t>
      </w:r>
      <w:r>
        <w:t xml:space="preserve">quoted in the revision against a cold-start re-run.</w:t>
      </w:r>
      <w:r>
        <w:t xml:space="preserve"> </w:t>
      </w:r>
      <w:r>
        <w:t xml:space="preserve">Several of the discrepancies in W7 suggest that some manuscript numbers came from earlier runs</w:t>
      </w:r>
      <w:r>
        <w:t xml:space="preserve"> </w:t>
      </w:r>
      <w:r>
        <w:t xml:space="preserve">than the shipped result files.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Co-author sign-off on W1 specifically.</w:t>
      </w:r>
      <w:r>
        <w:t xml:space="preserve"> </w:t>
      </w:r>
      <w:r>
        <w:t xml:space="preserve">The gap between</w:t>
      </w:r>
      <w:r>
        <w:t xml:space="preserve"> </w:t>
      </w:r>
      <w:r>
        <w:t xml:space="preserve">“</w:t>
      </w:r>
      <w:r>
        <w:t xml:space="preserve">offline reward-shaped policy</w:t>
      </w:r>
      <w:r>
        <w:t xml:space="preserve"> </w:t>
      </w:r>
      <w:r>
        <w:t xml:space="preserve">learning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cost-weighted cross-entropy against oracle labels</w:t>
      </w:r>
      <w:r>
        <w:t xml:space="preserve">”</w:t>
      </w:r>
      <w:r>
        <w:t xml:space="preserve"> </w:t>
      </w:r>
      <w:r>
        <w:t xml:space="preserve">is the kind of thing that,</w:t>
      </w:r>
      <w:r>
        <w:t xml:space="preserve"> </w:t>
      </w:r>
      <w:r>
        <w:t xml:space="preserve">discovered post-publication, is a correction notice. It should be a deliberate, documented,</w:t>
      </w:r>
      <w:r>
        <w:t xml:space="preserve"> </w:t>
      </w:r>
      <w:r>
        <w:t xml:space="preserve">three-author decision, not an editorial cleanup.</w:t>
      </w:r>
    </w:p>
    <w:bookmarkEnd w:id="40"/>
    <w:bookmarkStart w:id="41" w:name="d.5-suggested-sequence"/>
    <w:p>
      <w:pPr>
        <w:pStyle w:val="Heading3"/>
      </w:pPr>
      <w:r>
        <w:t xml:space="preserve">D.5 Suggested sequence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W1, W4, W3, W7 — truth-in-labeling: fix descriptions, delete unsupported claims, reconcile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days, no 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W5, W6 — re-run AE evaluation out-of-sample; re-split images block-wise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W12, D.2 #10–#11 — add missing columns, CP bounds, cost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W11 — CUSUM/SPRT, threshold rule, k-NN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W2, W9, W10, D.2 #14–#16 — reframe, reposition, restyle to SPE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(#17–#21), as time and ambition 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 weeks</w:t>
            </w:r>
          </w:p>
        </w:tc>
      </w:tr>
    </w:tbl>
    <w:p>
      <w:pPr>
        <w:pStyle w:val="BodyText"/>
      </w:pPr>
      <w:r>
        <w:t xml:space="preserve">Phases 1–5 produce a submittable SPE Journal manuscript at roughly 6.5–7/10 without any new data</w:t>
      </w:r>
      <w:r>
        <w:t xml:space="preserve"> </w:t>
      </w:r>
      <w:r>
        <w:t xml:space="preserve">collection. Phase 6 is what would make it a paper the field cites.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 rewritten Summary, Introduction, Discussion and Conclusions, together with targeted repairs</w:t>
      </w:r>
      <w:r>
        <w:rPr>
          <w:iCs/>
          <w:i/>
        </w:rPr>
        <w:t xml:space="preserve"> </w:t>
      </w:r>
      <w:r>
        <w:rPr>
          <w:iCs/>
          <w:i/>
        </w:rPr>
        <w:t xml:space="preserve">to the Methods and Results text, are provided in the companion document.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2026-09-09T06:37:09Z</dcterms:created>
  <dcterms:modified xsi:type="dcterms:W3CDTF">2026-09-09T06:37:09Z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