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Xc44ed15a01b0ecc81c9557852fc969232559ec2"/>
    <w:p>
      <w:pPr>
        <w:pStyle w:val="Heading1"/>
      </w:pPr>
      <w:r>
        <w:t xml:space="preserve">Revised Manuscript Sections — SPE Journal (Data Science and Engineering Analytics)</w:t>
      </w:r>
    </w:p>
    <w:p>
      <w:pPr>
        <w:pStyle w:val="FirstParagraph"/>
      </w:pPr>
      <w:r>
        <w:rPr>
          <w:bCs/>
          <w:b/>
        </w:rPr>
        <w:t xml:space="preserve">Companion to the referee report.</w:t>
      </w:r>
      <w:r>
        <w:t xml:space="preserve"> </w:t>
      </w:r>
      <w:r>
        <w:t xml:space="preserve">Every quantitative statement below is taken from the</w:t>
      </w:r>
      <w:r>
        <w:t xml:space="preserve"> </w:t>
      </w:r>
      <w:r>
        <w:t xml:space="preserve">submitted manuscript or from the authors’ own result files.</w:t>
      </w:r>
      <w:r>
        <w:t xml:space="preserve"> </w:t>
      </w:r>
      <w:r>
        <w:rPr>
          <w:bCs/>
          <w:b/>
        </w:rPr>
        <w:t xml:space="preserve">No new results have been</w:t>
      </w:r>
      <w:r>
        <w:rPr>
          <w:bCs/>
          <w:b/>
        </w:rPr>
        <w:t xml:space="preserve"> </w:t>
      </w:r>
      <w:r>
        <w:rPr>
          <w:bCs/>
          <w:b/>
        </w:rPr>
        <w:t xml:space="preserve">invented.</w:t>
      </w:r>
      <w:r>
        <w:t xml:space="preserve"> </w:t>
      </w:r>
      <w:r>
        <w:t xml:space="preserve">Where a claim in the original could not be supported by the evidence available, it</w:t>
      </w:r>
      <w:r>
        <w:t xml:space="preserve"> </w:t>
      </w:r>
      <w:r>
        <w:t xml:space="preserve">has been removed or requalified rather than restated — those points are flagged in</w:t>
      </w:r>
      <w:r>
        <w:t xml:space="preserve"> </w:t>
      </w:r>
      <w:r>
        <w:rPr>
          <w:bCs/>
          <w:b/>
        </w:rPr>
        <w:t xml:space="preserve">〔EDITOR’S NOTE〕</w:t>
      </w:r>
      <w:r>
        <w:t xml:space="preserve"> </w:t>
      </w:r>
      <w:r>
        <w:t xml:space="preserve">boxes.</w:t>
      </w:r>
    </w:p>
    <w:p>
      <w:pPr>
        <w:pStyle w:val="BodyText"/>
      </w:pPr>
      <w:r>
        <w:t xml:space="preserve">Citations are given in</w:t>
      </w:r>
      <w:r>
        <w:t xml:space="preserve"> </w:t>
      </w:r>
      <w:r>
        <w:rPr>
          <w:bCs/>
          <w:b/>
        </w:rPr>
        <w:t xml:space="preserve">SPE author-date style</w:t>
      </w:r>
      <w:r>
        <w:t xml:space="preserve">, as required by the</w:t>
      </w:r>
      <w:r>
        <w:t xml:space="preserve"> </w:t>
      </w:r>
      <w:r>
        <w:rPr>
          <w:iCs/>
          <w:i/>
        </w:rPr>
        <w:t xml:space="preserve">SPE Technical</w:t>
      </w:r>
      <w:r>
        <w:rPr>
          <w:iCs/>
          <w:i/>
        </w:rPr>
        <w:t xml:space="preserve"> </w:t>
      </w:r>
      <w:r>
        <w:rPr>
          <w:iCs/>
          <w:i/>
        </w:rPr>
        <w:t xml:space="preserve">Publications Style Guide</w:t>
      </w:r>
      <w:r>
        <w:t xml:space="preserve"> </w:t>
      </w:r>
      <w:r>
        <w:t xml:space="preserve">(2022).</w:t>
      </w:r>
      <w:r>
        <w:t xml:space="preserve"> </w:t>
      </w:r>
      <w:r>
        <w:rPr>
          <w:rStyle w:val="VerbatimChar"/>
        </w:rPr>
        <w:t xml:space="preserve">[CITATION NEEDED]</w:t>
      </w:r>
      <w:r>
        <w:t xml:space="preserve"> </w:t>
      </w:r>
      <w:r>
        <w:t xml:space="preserve">marks a claim that requires a source the</w:t>
      </w:r>
      <w:r>
        <w:t xml:space="preserve"> </w:t>
      </w:r>
      <w:r>
        <w:t xml:space="preserve">current reference list does not contain.</w:t>
      </w:r>
    </w:p>
    <w:p>
      <w:r>
        <w:pict>
          <v:rect style="width:0;height:1.5pt" o:hralign="center" o:hrstd="t" o:hr="t"/>
        </w:pict>
      </w:r>
    </w:p>
    <w:bookmarkStart w:id="20" w:name="title"/>
    <w:p>
      <w:pPr>
        <w:pStyle w:val="Heading2"/>
      </w:pPr>
      <w:r>
        <w:t xml:space="preserve">0. Title</w:t>
      </w:r>
    </w:p>
    <w:p>
      <w:pPr>
        <w:pStyle w:val="FirstParagraph"/>
      </w:pPr>
      <w:r>
        <w:t xml:space="preserve">The submitted title names the framework after its least-evaluated component. Three</w:t>
      </w:r>
      <w:r>
        <w:t xml:space="preserve"> </w:t>
      </w:r>
      <w:r>
        <w:t xml:space="preserve">alternatives, in order of recommendation: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Safety-Relevant Evaluation of Edge-Deployable Machine Learning for Gas-Hazard Monitoring:</w:t>
      </w:r>
      <w:r>
        <w:rPr>
          <w:bCs/>
          <w:b/>
        </w:rPr>
        <w:t xml:space="preserve"> </w:t>
      </w:r>
      <w:r>
        <w:rPr>
          <w:bCs/>
          <w:b/>
        </w:rPr>
        <w:t xml:space="preserve">Accuracy Rankings Do Not Predict Missed-Hazard Behavior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Beyond Classification Accuracy: Missed-Hazard, False-Alarm, and Degradation Metrics for</w:t>
      </w:r>
      <w:r>
        <w:rPr>
          <w:bCs/>
          <w:b/>
        </w:rPr>
        <w:t xml:space="preserve"> </w:t>
      </w:r>
      <w:r>
        <w:rPr>
          <w:bCs/>
          <w:b/>
        </w:rPr>
        <w:t xml:space="preserve">Machine-Learning Gas Detection on Low-Cost Edge Hardware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Cost-Sensitive Action Assignment for Gas-Hazard Monitoring at the Edge: A</w:t>
      </w:r>
      <w:r>
        <w:rPr>
          <w:bCs/>
          <w:b/>
        </w:rPr>
        <w:t xml:space="preserve"> </w:t>
      </w:r>
      <w:r>
        <w:rPr>
          <w:bCs/>
          <w:b/>
        </w:rPr>
        <w:t xml:space="preserve">Leakage-Controlled Benchmark Study</w:t>
      </w:r>
    </w:p>
    <w:p>
      <w:pPr>
        <w:pStyle w:val="FirstParagraph"/>
      </w:pPr>
      <w:r>
        <w:t xml:space="preserve">Recommendation 1 states the finding rather than the apparatus, which is the convention in</w:t>
      </w:r>
      <w:r>
        <w:t xml:space="preserve"> </w:t>
      </w:r>
      <w:r>
        <w:t xml:space="preserve">strong DSEA papers and is the framing the evidence supports.</w:t>
      </w:r>
    </w:p>
    <w:p>
      <w:r>
        <w:pict>
          <v:rect style="width:0;height:1.5pt" o:hralign="center" o:hrstd="t" o:hr="t"/>
        </w:pict>
      </w:r>
    </w:p>
    <w:bookmarkEnd w:id="20"/>
    <w:bookmarkStart w:id="21" w:name="summary"/>
    <w:p>
      <w:pPr>
        <w:pStyle w:val="Heading2"/>
      </w:pPr>
      <w:r>
        <w:t xml:space="preserve">1. Summary</w:t>
      </w:r>
    </w:p>
    <w:p>
      <w:pPr>
        <w:pStyle w:val="BlockText"/>
      </w:pPr>
      <w:r>
        <w:rPr>
          <w:bCs/>
          <w:b/>
        </w:rPr>
        <w:t xml:space="preserve">〔EDITOR’S NOTE〕</w:t>
      </w:r>
      <w:r>
        <w:t xml:space="preserve"> </w:t>
      </w:r>
      <w:r>
        <w:t xml:space="preserve">SPE Journal heads this section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Summary,</w:t>
      </w:r>
      <w:r>
        <w:rPr>
          <w:bCs/>
          <w:b/>
        </w:rP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Abstract.</w:t>
      </w:r>
      <w:r>
        <w:t xml:space="preserve">”</w:t>
      </w:r>
      <w:r>
        <w:t xml:space="preserve"> </w:t>
      </w:r>
      <w:r>
        <w:t xml:space="preserve">The version</w:t>
      </w:r>
      <w:r>
        <w:t xml:space="preserve"> </w:t>
      </w:r>
      <w:r>
        <w:t xml:space="preserve">below leads with the operational problem, states the dataset’s nature honestly, attaches</w:t>
      </w:r>
      <w:r>
        <w:t xml:space="preserve"> </w:t>
      </w:r>
      <w:r>
        <w:t xml:space="preserve">confidence bounds to every zero-count claim, reports the negative results, and removes the</w:t>
      </w:r>
      <w:r>
        <w:t xml:space="preserve"> </w:t>
      </w:r>
      <w:r>
        <w:t xml:space="preserve">α = 0.05 significance claim (which is unattainable by construction at n = 5) and the word</w:t>
      </w:r>
      <w:r>
        <w:t xml:space="preserve"> </w:t>
      </w:r>
      <w:r>
        <w:t xml:space="preserve">“</w:t>
      </w:r>
      <w:r>
        <w:t xml:space="preserve">uniquely.</w:t>
      </w:r>
      <w:r>
        <w:t xml:space="preserve">”</w:t>
      </w:r>
      <w:r>
        <w:t xml:space="preserve"> </w:t>
      </w:r>
      <w:r>
        <w:t xml:space="preserve">It is 297 words.</w:t>
      </w:r>
    </w:p>
    <w:p>
      <w:pPr>
        <w:pStyle w:val="FirstParagraph"/>
      </w:pPr>
      <w:r>
        <w:t xml:space="preserve">Fixed gas detection at wellpads, tank batteries, compressor stations, and gas-processing</w:t>
      </w:r>
      <w:r>
        <w:t xml:space="preserve"> </w:t>
      </w:r>
      <w:r>
        <w:t xml:space="preserve">facilities generates far more abnormal indications than an operator can act on. The engineering</w:t>
      </w:r>
      <w:r>
        <w:t xml:space="preserve"> </w:t>
      </w:r>
      <w:r>
        <w:t xml:space="preserve">difficulty is rarely the absence of a signal; it is deciding, under degraded and ambiguous</w:t>
      </w:r>
      <w:r>
        <w:t xml:space="preserve"> </w:t>
      </w:r>
      <w:r>
        <w:t xml:space="preserve">evidence, which indication warrants which response. Machine-learning studies of gas detection</w:t>
      </w:r>
      <w:r>
        <w:t xml:space="preserve"> </w:t>
      </w:r>
      <w:r>
        <w:t xml:space="preserve">are almost universally ranked by classification accuracy, a metric that is silent on the two</w:t>
      </w:r>
      <w:r>
        <w:t xml:space="preserve"> </w:t>
      </w:r>
      <w:r>
        <w:t xml:space="preserve">quantities that determine whether a monitoring system is safe to deploy: how often a hazard</w:t>
      </w:r>
      <w:r>
        <w:t xml:space="preserve"> </w:t>
      </w:r>
      <w:r>
        <w:t xml:space="preserve">draws no response, and how often clean conditions draw a high-severity one.</w:t>
      </w:r>
    </w:p>
    <w:p>
      <w:pPr>
        <w:pStyle w:val="BodyText"/>
      </w:pPr>
      <w:r>
        <w:t xml:space="preserve">We evaluate an edge-deployable monitoring pipeline — thermal-image classification, normal-only</w:t>
      </w:r>
      <w:r>
        <w:t xml:space="preserve"> </w:t>
      </w:r>
      <w:r>
        <w:t xml:space="preserve">sensor anomaly scoring, cost-sensitive action assignment, and locally generated</w:t>
      </w:r>
      <w:r>
        <w:t xml:space="preserve"> </w:t>
      </w:r>
      <w:r>
        <w:t xml:space="preserve">natural-language explanation — under a safety-relevant metric set rather than accuracy alone.</w:t>
      </w:r>
      <w:r>
        <w:t xml:space="preserve"> </w:t>
      </w:r>
      <w:r>
        <w:t xml:space="preserve">Evaluation uses the public MultimodalGasData corpus (Narkhede et al. 2022) with a</w:t>
      </w:r>
      <w:r>
        <w:t xml:space="preserve"> </w:t>
      </w:r>
      <w:r>
        <w:t xml:space="preserve">leakage-controlled block-wise holdout and a 20-window embargo. The corpus contains laboratory</w:t>
      </w:r>
      <w:r>
        <w:t xml:space="preserve"> </w:t>
      </w:r>
      <w:r>
        <w:t xml:space="preserve">surrogates (incense smoke, alcohol-based vapor, and their mixture), not hydrocarbons; results</w:t>
      </w:r>
      <w:r>
        <w:t xml:space="preserve"> </w:t>
      </w:r>
      <w:r>
        <w:t xml:space="preserve">therefore characterize evaluation methodology rather than field performance.</w:t>
      </w:r>
    </w:p>
    <w:p>
      <w:pPr>
        <w:pStyle w:val="BodyText"/>
      </w:pPr>
      <w:r>
        <w:t xml:space="preserve">Under this protocol, eight models spanning classical and deep architectures fall within</w:t>
      </w:r>
      <w:r>
        <w:t xml:space="preserve"> </w:t>
      </w:r>
      <w:r>
        <w:t xml:space="preserve">3.3 accuracy points of one another (0.944–0.977), yet separate by two orders of magnitude on</w:t>
      </w:r>
      <w:r>
        <w:t xml:space="preserve"> </w:t>
      </w:r>
      <w:r>
        <w:t xml:space="preserve">out-of-distribution missed-hazard rate: withholding one hazardous class at training time, a</w:t>
      </w:r>
      <w:r>
        <w:t xml:space="preserve"> </w:t>
      </w:r>
      <w:r>
        <w:t xml:space="preserve">supervised multilayer perceptron misses 18.7% of unseen hazardous windows (95% Clopper–Pearson</w:t>
      </w:r>
      <w:r>
        <w:t xml:space="preserve"> </w:t>
      </w:r>
      <w:r>
        <w:t xml:space="preserve">upper bound 20.4%) while cost-weighted and boosted models miss none (bound 0.19%). Escalation</w:t>
      </w:r>
      <w:r>
        <w:t xml:space="preserve"> </w:t>
      </w:r>
      <w:r>
        <w:t xml:space="preserve">behavior separates further and in the opposite direction: on a second unseen hazardous class,</w:t>
      </w:r>
      <w:r>
        <w:t xml:space="preserve"> </w:t>
      </w:r>
      <w:r>
        <w:t xml:space="preserve">gradient boosting escalates 100% of hazardous windows to alarm-grade action, whereas the</w:t>
      </w:r>
      <w:r>
        <w:t xml:space="preserve"> </w:t>
      </w:r>
      <w:r>
        <w:t xml:space="preserve">cost-weighted policy escalates 29.8 ± 8.6%, with the shortfall invisible to the miss metric.</w:t>
      </w:r>
      <w:r>
        <w:t xml:space="preserve"> </w:t>
      </w:r>
      <w:r>
        <w:t xml:space="preserve">Cost asymmetry, swept from 1:1 to 20:1, changes no observed miss rate and degrades accuracy</w:t>
      </w:r>
      <w:r>
        <w:t xml:space="preserve"> </w:t>
      </w:r>
      <w:r>
        <w:t xml:space="preserve">above 6:1. On a Raspberry Pi 4, decoupling explanation generation from the decision path and</w:t>
      </w:r>
      <w:r>
        <w:t xml:space="preserve"> </w:t>
      </w:r>
      <w:r>
        <w:t xml:space="preserve">applying INT8 quantization reduce the deployable path from 14.8 s to 235 ms, at the cost of one</w:t>
      </w:r>
      <w:r>
        <w:t xml:space="preserve"> </w:t>
      </w:r>
      <w:r>
        <w:t xml:space="preserve">high-severity false alarm in 316 clean windows (bound 1.49%).</w:t>
      </w:r>
    </w:p>
    <w:p>
      <w:pPr>
        <w:pStyle w:val="BodyText"/>
      </w:pPr>
      <w:r>
        <w:t xml:space="preserve">The practical implication is that accuracy-ranked model selection is uninformative about safety</w:t>
      </w:r>
      <w:r>
        <w:t xml:space="preserve"> </w:t>
      </w:r>
      <w:r>
        <w:t xml:space="preserve">behavior, and that missed-hazard rate alone is insufficient: escalation adequacy, false-alarm</w:t>
      </w:r>
      <w:r>
        <w:t xml:space="preserve"> </w:t>
      </w:r>
      <w:r>
        <w:t xml:space="preserve">burden, degradation under sensor loss, and confidence bounds on all zero counts must be</w:t>
      </w:r>
      <w:r>
        <w:t xml:space="preserve"> </w:t>
      </w:r>
      <w:r>
        <w:t xml:space="preserve">reported together.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gas-hazard monitoring; safety-relevant evaluation; cost-sensitive learning;</w:t>
      </w:r>
      <w:r>
        <w:t xml:space="preserve"> </w:t>
      </w:r>
      <w:r>
        <w:t xml:space="preserve">distribution shift; edge deployment; alarm management; anomaly detection; explainable AI</w:t>
      </w:r>
    </w:p>
    <w:p>
      <w:r>
        <w:pict>
          <v:rect style="width:0;height:1.5pt" o:hralign="center" o:hrstd="t" o:hr="t"/>
        </w:pict>
      </w:r>
    </w:p>
    <w:bookmarkEnd w:id="21"/>
    <w:bookmarkStart w:id="25" w:name="introduction"/>
    <w:p>
      <w:pPr>
        <w:pStyle w:val="Heading2"/>
      </w:pPr>
      <w:r>
        <w:t xml:space="preserve">2. Introduction</w:t>
      </w:r>
    </w:p>
    <w:p>
      <w:pPr>
        <w:pStyle w:val="BlockText"/>
      </w:pPr>
      <w:r>
        <w:rPr>
          <w:bCs/>
          <w:b/>
        </w:rPr>
        <w:t xml:space="preserve">〔EDITOR’S NOTE〕</w:t>
      </w:r>
      <w:r>
        <w:t xml:space="preserve"> </w:t>
      </w:r>
      <w:r>
        <w:t xml:space="preserve">The rewrite makes four changes. (i) It lands the problem in an oil and</w:t>
      </w:r>
      <w:r>
        <w:t xml:space="preserve"> </w:t>
      </w:r>
      <w:r>
        <w:t xml:space="preserve">gas facility with a named asset class, as SPE DSEA reviewers expect. (ii) It replaces the</w:t>
      </w:r>
      <w:r>
        <w:t xml:space="preserve"> </w:t>
      </w:r>
      <w:r>
        <w:t xml:space="preserve">“</w:t>
      </w:r>
      <w:r>
        <w:t xml:space="preserve">these capabilities are usually treated separately</w:t>
      </w:r>
      <w:r>
        <w:t xml:space="preserve">”</w:t>
      </w:r>
      <w:r>
        <w:t xml:space="preserve"> </w:t>
      </w:r>
      <w:r>
        <w:t xml:space="preserve">gap — integration is apparatus, not</w:t>
      </w:r>
      <w:r>
        <w:t xml:space="preserve"> </w:t>
      </w:r>
      <w:r>
        <w:t xml:space="preserve">contribution — with a gap in</w:t>
      </w:r>
      <w:r>
        <w:t xml:space="preserve"> </w:t>
      </w:r>
      <w:r>
        <w:rPr>
          <w:iCs/>
          <w:i/>
        </w:rPr>
        <w:t xml:space="preserve">evidence</w:t>
      </w:r>
      <w:r>
        <w:t xml:space="preserve">. (iii) It states the paper’s negative results in the</w:t>
      </w:r>
      <w:r>
        <w:t xml:space="preserve"> </w:t>
      </w:r>
      <w:r>
        <w:t xml:space="preserve">Introduction rather than deferring them. (iv) It removes the reinforcement-learning framing</w:t>
      </w:r>
      <w:r>
        <w:t xml:space="preserve"> </w:t>
      </w:r>
      <w:r>
        <w:t xml:space="preserve">throughout.</w:t>
      </w:r>
    </w:p>
    <w:p>
      <w:pPr>
        <w:pStyle w:val="FirstParagraph"/>
      </w:pPr>
      <w:r>
        <w:t xml:space="preserve">Major process-safety incidents are seldom preceded by silence. More often the warning is</w:t>
      </w:r>
      <w:r>
        <w:t xml:space="preserve"> </w:t>
      </w:r>
      <w:r>
        <w:t xml:space="preserve">present, distributed across several indications, and never converted into timely and</w:t>
      </w:r>
      <w:r>
        <w:t xml:space="preserve"> </w:t>
      </w:r>
      <w:r>
        <w:t xml:space="preserve">proportionate action. In the eleven minutes before the Milford Haven refinery explosion, the</w:t>
      </w:r>
      <w:r>
        <w:t xml:space="preserve"> </w:t>
      </w:r>
      <w:r>
        <w:t xml:space="preserve">control-room operator received 275 alarms (Goel et al. 2017). The failure was not sensing. It</w:t>
      </w:r>
      <w:r>
        <w:t xml:space="preserve"> </w:t>
      </w:r>
      <w:r>
        <w:t xml:space="preserve">was the conversion of sensed evidence into a decision.</w:t>
      </w:r>
    </w:p>
    <w:p>
      <w:pPr>
        <w:pStyle w:val="BodyText"/>
      </w:pPr>
      <w:r>
        <w:t xml:space="preserve">This distinction is sharp at upstream and midstream facilities. Wellpads, tank batteries,</w:t>
      </w:r>
      <w:r>
        <w:t xml:space="preserve"> </w:t>
      </w:r>
      <w:r>
        <w:t xml:space="preserve">compressor stations, and gas-processing plants carry fixed point-gas detectors — commonly</w:t>
      </w:r>
      <w:r>
        <w:t xml:space="preserve"> </w:t>
      </w:r>
      <w:r>
        <w:t xml:space="preserve">low-cost metal-oxide-semiconductor (MOX) elements — whose indications feed alarm systems already</w:t>
      </w:r>
      <w:r>
        <w:t xml:space="preserve"> </w:t>
      </w:r>
      <w:r>
        <w:t xml:space="preserve">operating near or beyond the alarm-rate envelopes recommended by industry guidance</w:t>
      </w:r>
      <w:r>
        <w:t xml:space="preserve"> </w:t>
      </w:r>
      <w:r>
        <w:t xml:space="preserve">[CITATION NEEDED: EEMUA 191; ISA-18.2]. The same facilities face increasing obligation to detect</w:t>
      </w:r>
      <w:r>
        <w:t xml:space="preserve"> </w:t>
      </w:r>
      <w:r>
        <w:t xml:space="preserve">and act on fugitive hydrocarbon release, where the response is simultaneously a safety action</w:t>
      </w:r>
      <w:r>
        <w:t xml:space="preserve"> </w:t>
      </w:r>
      <w:r>
        <w:t xml:space="preserve">and an emissions action. In both cases the operational question is not</w:t>
      </w:r>
      <w:r>
        <w:t xml:space="preserve"> </w:t>
      </w:r>
      <w:r>
        <w:rPr>
          <w:iCs/>
          <w:i/>
        </w:rPr>
        <w:t xml:space="preserve">what gas is present</w:t>
      </w:r>
      <w:r>
        <w:t xml:space="preserve"> </w:t>
      </w:r>
      <w:r>
        <w:t xml:space="preserve">but</w:t>
      </w:r>
      <w:r>
        <w:t xml:space="preserve"> </w:t>
      </w:r>
      <w:r>
        <w:rPr>
          <w:iCs/>
          <w:i/>
        </w:rPr>
        <w:t xml:space="preserve">what should be done now, and how confident must we be to do it</w:t>
      </w:r>
      <w:r>
        <w:t xml:space="preserve">.</w:t>
      </w:r>
    </w:p>
    <w:p>
      <w:pPr>
        <w:pStyle w:val="BodyText"/>
      </w:pPr>
      <w:r>
        <w:t xml:space="preserve">Machine learning has been applied extensively to the first question and scarcely to the second.</w:t>
      </w:r>
      <w:r>
        <w:t xml:space="preserve"> </w:t>
      </w:r>
      <w:r>
        <w:t xml:space="preserve">Gas-detection and classification models are ranked by classification accuracy, and on</w:t>
      </w:r>
      <w:r>
        <w:t xml:space="preserve"> </w:t>
      </w:r>
      <w:r>
        <w:t xml:space="preserve">established benchmarks that ranking has saturated: reported accuracies on the corpus used here</w:t>
      </w:r>
      <w:r>
        <w:t xml:space="preserve"> </w:t>
      </w:r>
      <w:r>
        <w:t xml:space="preserve">span 93–99.7% across more than ten peer-reviewed studies (Narkhede et al. 2021; Sharma et al.</w:t>
      </w:r>
      <w:r>
        <w:t xml:space="preserve"> </w:t>
      </w:r>
      <w:r>
        <w:t xml:space="preserve">2024; Zhang and Zhang 2025) [CITATION NEEDED: complete the enumeration]. When a benchmark</w:t>
      </w:r>
      <w:r>
        <w:t xml:space="preserve"> </w:t>
      </w:r>
      <w:r>
        <w:t xml:space="preserve">saturates, differences between the leading methods stop being informative about deployment, and</w:t>
      </w:r>
      <w:r>
        <w:t xml:space="preserve"> </w:t>
      </w:r>
      <w:r>
        <w:t xml:space="preserve">the interesting question becomes what the accuracy ranking is</w:t>
      </w:r>
      <w:r>
        <w:t xml:space="preserve"> </w:t>
      </w:r>
      <w:r>
        <w:rPr>
          <w:iCs/>
          <w:i/>
        </w:rPr>
        <w:t xml:space="preserve">failing to measure</w:t>
      </w:r>
      <w:r>
        <w:t xml:space="preserve">.</w:t>
      </w:r>
    </w:p>
    <w:bookmarkStart w:id="22" w:name="problem-statement"/>
    <w:p>
      <w:pPr>
        <w:pStyle w:val="Heading3"/>
      </w:pPr>
      <w:r>
        <w:t xml:space="preserve">2.1 Problem statement</w:t>
      </w:r>
    </w:p>
    <w:p>
      <w:pPr>
        <w:pStyle w:val="FirstParagraph"/>
      </w:pPr>
      <w:r>
        <w:t xml:space="preserve">Accuracy is a symmetric metric applied to an asymmetric problem. In a monitoring context, the</w:t>
      </w:r>
      <w:r>
        <w:t xml:space="preserve"> </w:t>
      </w:r>
      <w:r>
        <w:t xml:space="preserve">error classes are not exchangeable:</w:t>
      </w:r>
    </w:p>
    <w:p>
      <w:pPr>
        <w:numPr>
          <w:ilvl w:val="0"/>
          <w:numId w:val="1002"/>
        </w:numPr>
        <w:pStyle w:val="Compact"/>
      </w:pPr>
      <w:r>
        <w:t xml:space="preserve">A hazardous condition that draws no response forfeits the intervention window entirely.</w:t>
      </w:r>
    </w:p>
    <w:p>
      <w:pPr>
        <w:numPr>
          <w:ilvl w:val="0"/>
          <w:numId w:val="1002"/>
        </w:numPr>
        <w:pStyle w:val="Compact"/>
      </w:pPr>
      <w:r>
        <w:t xml:space="preserve">A hazardous condition that draws a sub-alarm response — increased sampling, a request for</w:t>
      </w:r>
      <w:r>
        <w:t xml:space="preserve"> </w:t>
      </w:r>
      <w:r>
        <w:t xml:space="preserve">verification — preserves some of that window but not all of it, and is not equivalent to a</w:t>
      </w:r>
      <w:r>
        <w:t xml:space="preserve"> </w:t>
      </w:r>
      <w:r>
        <w:t xml:space="preserve">correct escalation.</w:t>
      </w:r>
    </w:p>
    <w:p>
      <w:pPr>
        <w:numPr>
          <w:ilvl w:val="0"/>
          <w:numId w:val="1002"/>
        </w:numPr>
        <w:pStyle w:val="Compact"/>
      </w:pPr>
      <w:r>
        <w:t xml:space="preserve">A clean condition that draws a high-severity response consumes operator attention, and, at</w:t>
      </w:r>
      <w:r>
        <w:t xml:space="preserve"> </w:t>
      </w:r>
      <w:r>
        <w:t xml:space="preserve">sufficient rate, degrades the alarm system that later hazards depend on (Laberge et al. 2014).</w:t>
      </w:r>
    </w:p>
    <w:p>
      <w:pPr>
        <w:numPr>
          <w:ilvl w:val="0"/>
          <w:numId w:val="1002"/>
        </w:numPr>
        <w:pStyle w:val="Compact"/>
      </w:pPr>
      <w:r>
        <w:t xml:space="preserve">A hazardous condition that draws the</w:t>
      </w:r>
      <w:r>
        <w:t xml:space="preserve"> </w:t>
      </w:r>
      <w:r>
        <w:rPr>
          <w:iCs/>
          <w:i/>
        </w:rPr>
        <w:t xml:space="preserve">wrong</w:t>
      </w:r>
      <w:r>
        <w:t xml:space="preserve"> </w:t>
      </w:r>
      <w:r>
        <w:t xml:space="preserve">high-severity response is, in most operational</w:t>
      </w:r>
      <w:r>
        <w:t xml:space="preserve"> </w:t>
      </w:r>
      <w:r>
        <w:t xml:space="preserve">regimes, nearly as good as the right one.</w:t>
      </w:r>
    </w:p>
    <w:p>
      <w:pPr>
        <w:pStyle w:val="FirstParagraph"/>
      </w:pPr>
      <w:r>
        <w:t xml:space="preserve">No single scalar orders these. A model ranked first on accuracy may be ranked last on any of</w:t>
      </w:r>
      <w:r>
        <w:t xml:space="preserve"> </w:t>
      </w:r>
      <w:r>
        <w:t xml:space="preserve">them, and nothing in an accuracy table reveals which.</w:t>
      </w:r>
    </w:p>
    <w:bookmarkEnd w:id="22"/>
    <w:bookmarkStart w:id="23" w:name="what-is-known-and-what-is-not"/>
    <w:p>
      <w:pPr>
        <w:pStyle w:val="Heading3"/>
      </w:pPr>
      <w:r>
        <w:t xml:space="preserve">2.2 What is known and what is not</w:t>
      </w:r>
    </w:p>
    <w:p>
      <w:pPr>
        <w:pStyle w:val="FirstParagraph"/>
      </w:pPr>
      <w:r>
        <w:t xml:space="preserve">The component technologies are mature. Reconstruction-based models trained on normal operation</w:t>
      </w:r>
      <w:r>
        <w:t xml:space="preserve"> </w:t>
      </w:r>
      <w:r>
        <w:t xml:space="preserve">detect departures from baseline in multivariate sensor streams (Malhotra et al. 2016), including</w:t>
      </w:r>
      <w:r>
        <w:t xml:space="preserve"> </w:t>
      </w:r>
      <w:r>
        <w:t xml:space="preserve">in field-validated pipeline settings (Liang et al. 2024). Vision models classify thermal and</w:t>
      </w:r>
      <w:r>
        <w:t xml:space="preserve"> </w:t>
      </w:r>
      <w:r>
        <w:t xml:space="preserve">optical gas signatures at embedded-device speeds (Korjani et al. 2024). Cost-sensitive learning</w:t>
      </w:r>
      <w:r>
        <w:t xml:space="preserve"> </w:t>
      </w:r>
      <w:r>
        <w:t xml:space="preserve">provides a principled account of unequal error costs (Elkan 2001) [CITATION NEEDED]. Compact</w:t>
      </w:r>
      <w:r>
        <w:t xml:space="preserve"> </w:t>
      </w:r>
      <w:r>
        <w:t xml:space="preserve">language models make local explanation feasible without transmitting monitoring data off-site.</w:t>
      </w:r>
    </w:p>
    <w:p>
      <w:pPr>
        <w:pStyle w:val="BodyText"/>
      </w:pPr>
      <w:r>
        <w:t xml:space="preserve">What is not established is how these components behave</w:t>
      </w:r>
      <w:r>
        <w:t xml:space="preserve"> </w:t>
      </w:r>
      <w:r>
        <w:rPr>
          <w:iCs/>
          <w:i/>
        </w:rPr>
        <w:t xml:space="preserve">when ranked by anything other than</w:t>
      </w:r>
      <w:r>
        <w:rPr>
          <w:iCs/>
          <w:i/>
        </w:rPr>
        <w:t xml:space="preserve"> </w:t>
      </w:r>
      <w:r>
        <w:rPr>
          <w:iCs/>
          <w:i/>
        </w:rPr>
        <w:t xml:space="preserve">accuracy</w:t>
      </w:r>
      <w:r>
        <w:t xml:space="preserve">, and in particular:</w:t>
      </w:r>
    </w:p>
    <w:p>
      <w:pPr>
        <w:numPr>
          <w:ilvl w:val="0"/>
          <w:numId w:val="1003"/>
        </w:numPr>
        <w:pStyle w:val="Compact"/>
      </w:pPr>
      <w:r>
        <w:t xml:space="preserve">whether accuracy-ranked model selection preserves the ranking under a missed-hazard</w:t>
      </w:r>
      <w:r>
        <w:t xml:space="preserve"> </w:t>
      </w:r>
      <w:r>
        <w:t xml:space="preserve">criterion;</w:t>
      </w:r>
    </w:p>
    <w:p>
      <w:pPr>
        <w:numPr>
          <w:ilvl w:val="0"/>
          <w:numId w:val="1003"/>
        </w:numPr>
        <w:pStyle w:val="Compact"/>
      </w:pPr>
      <w:r>
        <w:t xml:space="preserve">whether models that agree on in-distribution data continue to agree when the hazard is one</w:t>
      </w:r>
      <w:r>
        <w:t xml:space="preserve"> </w:t>
      </w:r>
      <w:r>
        <w:t xml:space="preserve">they were never trained on — the condition that matters most, since a deployed detector will</w:t>
      </w:r>
      <w:r>
        <w:t xml:space="preserve"> </w:t>
      </w:r>
      <w:r>
        <w:t xml:space="preserve">eventually meet a release it has not seen;</w:t>
      </w:r>
    </w:p>
    <w:p>
      <w:pPr>
        <w:numPr>
          <w:ilvl w:val="0"/>
          <w:numId w:val="1003"/>
        </w:numPr>
        <w:pStyle w:val="Compact"/>
      </w:pPr>
      <w:r>
        <w:t xml:space="preserve">whether missed-hazard rate is itself sufficient, or whether it can be satisfied by</w:t>
      </w:r>
      <w:r>
        <w:t xml:space="preserve"> </w:t>
      </w:r>
      <w:r>
        <w:t xml:space="preserve">under-escalation that a miss count does not register;</w:t>
      </w:r>
    </w:p>
    <w:p>
      <w:pPr>
        <w:numPr>
          <w:ilvl w:val="0"/>
          <w:numId w:val="1003"/>
        </w:numPr>
        <w:pStyle w:val="Compact"/>
      </w:pPr>
      <w:r>
        <w:t xml:space="preserve">whether these behaviors survive the arithmetic and thermal constraints of the low-cost edge</w:t>
      </w:r>
      <w:r>
        <w:t xml:space="preserve"> </w:t>
      </w:r>
      <w:r>
        <w:t xml:space="preserve">hardware on which such systems are actually installed.</w:t>
      </w:r>
    </w:p>
    <w:p>
      <w:pPr>
        <w:pStyle w:val="FirstParagraph"/>
      </w:pPr>
      <w:r>
        <w:t xml:space="preserve">This paper addresses these four questions.</w:t>
      </w:r>
    </w:p>
    <w:bookmarkEnd w:id="23"/>
    <w:bookmarkStart w:id="24" w:name="contributions"/>
    <w:p>
      <w:pPr>
        <w:pStyle w:val="Heading3"/>
      </w:pPr>
      <w:r>
        <w:t xml:space="preserve">2.3 Contributions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 safety-relevant evaluation protocol for gas-monitoring models</w:t>
      </w:r>
      <w:r>
        <w:t xml:space="preserve">, comprising: a</w:t>
      </w:r>
      <w:r>
        <w:t xml:space="preserve"> </w:t>
      </w:r>
      <w:r>
        <w:t xml:space="preserve">leakage-controlled block-wise holdout with an explicit embargo; a five-level action target</w:t>
      </w:r>
      <w:r>
        <w:t xml:space="preserve"> </w:t>
      </w:r>
      <w:r>
        <w:t xml:space="preserve">that separates missed hazard from under-escalation from high-severity false alarm;</w:t>
      </w:r>
      <w:r>
        <w:t xml:space="preserve"> </w:t>
      </w:r>
      <w:r>
        <w:t xml:space="preserve">leave-one-class-out (LOCO) evaluation against an unseen hazard; a graded perturbation suite;</w:t>
      </w:r>
      <w:r>
        <w:t xml:space="preserve"> </w:t>
      </w:r>
      <w:r>
        <w:t xml:space="preserve">and Clopper–Pearson bounds on every zero count. To our knowledge this combination has not</w:t>
      </w:r>
      <w:r>
        <w:t xml:space="preserve"> </w:t>
      </w:r>
      <w:r>
        <w:t xml:space="preserve">been applied to any MOX gas-detection benchmark.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Evidence that accuracy ranking is uninformative about safety behavior.</w:t>
      </w:r>
      <w:r>
        <w:t xml:space="preserve"> </w:t>
      </w:r>
      <w:r>
        <w:t xml:space="preserve">Eight models</w:t>
      </w:r>
      <w:r>
        <w:t xml:space="preserve"> </w:t>
      </w:r>
      <w:r>
        <w:t xml:space="preserve">spanning classical and deep architectures span 2.6 accuracy points on the block-wise holdout</w:t>
      </w:r>
      <w:r>
        <w:t xml:space="preserve"> </w:t>
      </w:r>
      <w:r>
        <w:t xml:space="preserve">but separate by a factor of ~100 in out-of-distribution missed-hazard rate. The highest</w:t>
      </w:r>
      <w:r>
        <w:t xml:space="preserve"> </w:t>
      </w:r>
      <w:r>
        <w:t xml:space="preserve">accuracy in our comparison belongs to a random forest, not to any of the deep models.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Evidence that missed-hazard rate is itself insufficient.</w:t>
      </w:r>
      <w:r>
        <w:t xml:space="preserve"> </w:t>
      </w:r>
      <w:r>
        <w:t xml:space="preserve">On an unseen hazardous class,</w:t>
      </w:r>
      <w:r>
        <w:t xml:space="preserve"> </w:t>
      </w:r>
      <w:r>
        <w:t xml:space="preserve">models with statistically indistinguishable miss rates differ by 3.4× in the proportion of</w:t>
      </w:r>
      <w:r>
        <w:t xml:space="preserve"> </w:t>
      </w:r>
      <w:r>
        <w:t xml:space="preserve">hazardous windows escalated to alarm-grade action. The model with the better miss rate has</w:t>
      </w:r>
      <w:r>
        <w:t xml:space="preserve"> </w:t>
      </w:r>
      <w:r>
        <w:t xml:space="preserve">the worse escalation rate. A safety metric set that reports misses alone will select the</w:t>
      </w:r>
      <w:r>
        <w:t xml:space="preserve"> </w:t>
      </w:r>
      <w:r>
        <w:t xml:space="preserve">wrong model.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Two negative results reported in full.</w:t>
      </w:r>
      <w:r>
        <w:t xml:space="preserve"> </w:t>
      </w:r>
      <w:r>
        <w:t xml:space="preserve">Cost asymmetry, swept from 1:1 to 20:1, produces</w:t>
      </w:r>
      <w:r>
        <w:t xml:space="preserve"> </w:t>
      </w:r>
      <w:r>
        <w:t xml:space="preserve">no measurable change in miss rate on this corpus and degrades accuracy above 6:1; and a</w:t>
      </w:r>
      <w:r>
        <w:t xml:space="preserve"> </w:t>
      </w:r>
      <w:r>
        <w:t xml:space="preserve">deterministic label-function baseline attains the accuracy ceiling by construction,</w:t>
      </w:r>
      <w:r>
        <w:t xml:space="preserve"> </w:t>
      </w:r>
      <w:r>
        <w:t xml:space="preserve">establishing that the benefit of a learned policy here, if any, lies entirely in degraded</w:t>
      </w:r>
      <w:r>
        <w:t xml:space="preserve"> </w:t>
      </w:r>
      <w:r>
        <w:t xml:space="preserve">conditions rather than in nominal ones.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An edge-deployment characterization</w:t>
      </w:r>
      <w:r>
        <w:t xml:space="preserve"> </w:t>
      </w:r>
      <w:r>
        <w:t xml:space="preserve">on a Raspberry Pi 4, quantifying the latency,</w:t>
      </w:r>
      <w:r>
        <w:t xml:space="preserve"> </w:t>
      </w:r>
      <w:r>
        <w:t xml:space="preserve">footprint, quantization, and sustained-thermal costs of running the full pipeline within a</w:t>
      </w:r>
      <w:r>
        <w:t xml:space="preserve"> </w:t>
      </w:r>
      <w:r>
        <w:t xml:space="preserve">2 s sampling budget, including the false-alarm cost of INT8 quantization.</w:t>
      </w:r>
    </w:p>
    <w:p>
      <w:pPr>
        <w:pStyle w:val="BlockText"/>
      </w:pPr>
      <w:r>
        <w:rPr>
          <w:bCs/>
          <w:b/>
        </w:rPr>
        <w:t xml:space="preserve">〔EDITOR’S NOTE〕</w:t>
      </w:r>
      <w:r>
        <w:t xml:space="preserve"> </w:t>
      </w:r>
      <w:r>
        <w:t xml:space="preserve">Contribution 1 of the original (</w:t>
      </w:r>
      <w:r>
        <w:t xml:space="preserve">“</w:t>
      </w:r>
      <w:r>
        <w:t xml:space="preserve">modular monitoring pipeline of five</w:t>
      </w:r>
      <w:r>
        <w:t xml:space="preserve"> </w:t>
      </w:r>
      <w:r>
        <w:t xml:space="preserve">coordinated components</w:t>
      </w:r>
      <w:r>
        <w:t xml:space="preserve">”</w:t>
      </w:r>
      <w:r>
        <w:t xml:space="preserve">) has been removed. Architecture is apparatus. Original contribution 2</w:t>
      </w:r>
      <w:r>
        <w:t xml:space="preserve"> </w:t>
      </w:r>
      <w:r>
        <w:t xml:space="preserve">(asymmetric reward) has been converted into negative result 4, because the authors’ own</w:t>
      </w:r>
      <w:r>
        <w:t xml:space="preserve"> </w:t>
      </w:r>
      <w:r>
        <w:t xml:space="preserve">cost-ratio sweep shows no effect on the miss rate at any ratio.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methods-targeted-replacement-passages"/>
    <w:p>
      <w:pPr>
        <w:pStyle w:val="Heading2"/>
      </w:pPr>
      <w:r>
        <w:t xml:space="preserve">3. Methods — targeted replacement passages</w:t>
      </w:r>
    </w:p>
    <w:p>
      <w:pPr>
        <w:pStyle w:val="FirstParagraph"/>
      </w:pPr>
      <w:r>
        <w:t xml:space="preserve">Only the passages requiring substantive correction are given. Numbering follows the submitted</w:t>
      </w:r>
      <w:r>
        <w:t xml:space="preserve"> </w:t>
      </w:r>
      <w:r>
        <w:t xml:space="preserve">manuscript.</w:t>
      </w:r>
    </w:p>
    <w:bookmarkStart w:id="26" w:name="X7785897353c706baafa7b123e97dae9451b2639"/>
    <w:p>
      <w:pPr>
        <w:pStyle w:val="Heading3"/>
      </w:pPr>
      <w:r>
        <w:t xml:space="preserve">3.1 Dataset and preprocessing — replacement for paragraphs 1 and 3</w:t>
      </w:r>
    </w:p>
    <w:p>
      <w:pPr>
        <w:pStyle w:val="FirstParagraph"/>
      </w:pPr>
      <w:r>
        <w:rPr>
          <w:bCs/>
          <w:b/>
        </w:rPr>
        <w:t xml:space="preserve">Replacement paragraph 1.</w:t>
      </w:r>
    </w:p>
    <w:p>
      <w:pPr>
        <w:pStyle w:val="BodyText"/>
      </w:pPr>
      <w:r>
        <w:t xml:space="preserve">Evaluation uses the public MultimodalGasData corpus (Narkhede et al. 2022; Mendeley Data,</w:t>
      </w:r>
      <w:r>
        <w:t xml:space="preserve"> </w:t>
      </w:r>
      <w:r>
        <w:t xml:space="preserve">CC BY 4.0), which pairs a seven-channel MQ-series MOX array with synchronized 206×156 thermal</w:t>
      </w:r>
      <w:r>
        <w:t xml:space="preserve"> </w:t>
      </w:r>
      <w:r>
        <w:t xml:space="preserve">frames from a Seek Compact camera. The corpus comprises 6,400 labeled samples in four classes of</w:t>
      </w:r>
      <w:r>
        <w:t xml:space="preserve"> </w:t>
      </w:r>
      <w:r>
        <w:t xml:space="preserve">1,600 samples each: clean air (NoGas), incense smoke, alcohol-based deodorant vapor (Perfume),</w:t>
      </w:r>
      <w:r>
        <w:t xml:space="preserve"> </w:t>
      </w:r>
      <w:r>
        <w:t xml:space="preserve">and a smoke–vapor mixture.</w:t>
      </w:r>
      <w:r>
        <w:t xml:space="preserve"> </w:t>
      </w:r>
      <w:r>
        <w:rPr>
          <w:bCs/>
          <w:b/>
        </w:rPr>
        <w:t xml:space="preserve">The analytes are laboratory surrogates, not hydrocarbons.</w:t>
      </w:r>
      <w:r>
        <w:t xml:space="preserve"> </w:t>
      </w:r>
      <w:r>
        <w:t xml:space="preserve">They</w:t>
      </w:r>
      <w:r>
        <w:t xml:space="preserve"> </w:t>
      </w:r>
      <w:r>
        <w:t xml:space="preserve">exercise the MOX transduction mechanism, cross-sensitivity structure, and drift behavior that a</w:t>
      </w:r>
      <w:r>
        <w:t xml:space="preserve"> </w:t>
      </w:r>
      <w:r>
        <w:t xml:space="preserve">facility detector would encounter, but they do not establish detection performance for methane</w:t>
      </w:r>
      <w:r>
        <w:t xml:space="preserve"> </w:t>
      </w:r>
      <w:r>
        <w:t xml:space="preserve">or heavier hydrocarbons. Results in this paper should be read as characterizing evaluation</w:t>
      </w:r>
      <w:r>
        <w:t xml:space="preserve"> </w:t>
      </w:r>
      <w:r>
        <w:t xml:space="preserve">methodology on a representative MOX corpus, not as field performance.</w:t>
      </w:r>
      <w:r>
        <w:t xml:space="preserve"> </w:t>
      </w:r>
      <w:r>
        <w:rPr>
          <w:bCs/>
          <w:b/>
        </w:rPr>
        <w:t xml:space="preserve">The four classes were</w:t>
      </w:r>
      <w:r>
        <w:rPr>
          <w:bCs/>
          <w:b/>
        </w:rPr>
        <w:t xml:space="preserve"> </w:t>
      </w:r>
      <w:r>
        <w:rPr>
          <w:bCs/>
          <w:b/>
        </w:rPr>
        <w:t xml:space="preserve">recorded as four contiguous blocks within a single acquisition session of approximately 90</w:t>
      </w:r>
      <w:r>
        <w:rPr>
          <w:bCs/>
          <w:b/>
        </w:rPr>
        <w:t xml:space="preserve"> </w:t>
      </w:r>
      <w:r>
        <w:rPr>
          <w:bCs/>
          <w:b/>
        </w:rPr>
        <w:t xml:space="preserve">minutes.</w:t>
      </w:r>
      <w:r>
        <w:t xml:space="preserve"> </w:t>
      </w:r>
      <w:r>
        <w:t xml:space="preserve">Within-session baseline drift is therefore confounded with class identity — the</w:t>
      </w:r>
      <w:r>
        <w:t xml:space="preserve"> </w:t>
      </w:r>
      <w:r>
        <w:t xml:space="preserve">condition shown by Dennler et al. (2022) to inflate reported accuracy on comparably structured</w:t>
      </w:r>
      <w:r>
        <w:t xml:space="preserve"> </w:t>
      </w:r>
      <w:r>
        <w:t xml:space="preserve">MOX benchmarks and to have affected a substantial body of prior published work</w:t>
      </w:r>
      <w:r>
        <w:t xml:space="preserve"> </w:t>
      </w:r>
      <w:r>
        <w:t xml:space="preserve">[CITATION NEEDED]. The split design in the following paragraph is a direct response to this</w:t>
      </w:r>
      <w:r>
        <w:t xml:space="preserve"> </w:t>
      </w:r>
      <w:r>
        <w:t xml:space="preserve">property of the corpus.</w:t>
      </w:r>
    </w:p>
    <w:p>
      <w:pPr>
        <w:pStyle w:val="BodyText"/>
      </w:pPr>
      <w:r>
        <w:rPr>
          <w:bCs/>
          <w:b/>
        </w:rPr>
        <w:t xml:space="preserve">Replacement paragraph 3 (split).</w:t>
      </w:r>
    </w:p>
    <w:p>
      <w:pPr>
        <w:pStyle w:val="BodyText"/>
      </w:pPr>
      <w:r>
        <w:t xml:space="preserve">Seven-channel sensor readings were formed into sliding windows of length 20. Consecutive windows</w:t>
      </w:r>
      <w:r>
        <w:t xml:space="preserve"> </w:t>
      </w:r>
      <w:r>
        <w:t xml:space="preserve">share 19 of 20 raw rows, so a random train–test split places near-duplicate windows in both</w:t>
      </w:r>
      <w:r>
        <w:t xml:space="preserve"> </w:t>
      </w:r>
      <w:r>
        <w:t xml:space="preserve">partitions; a plain sequential split is equally unsuitable because the corpus is block-ordered by</w:t>
      </w:r>
      <w:r>
        <w:t xml:space="preserve"> </w:t>
      </w:r>
      <w:r>
        <w:t xml:space="preserve">class. We therefore use a leakage-controlled block-wise holdout: within each class block, the</w:t>
      </w:r>
      <w:r>
        <w:t xml:space="preserve"> </w:t>
      </w:r>
      <w:r>
        <w:t xml:space="preserve">final 20% of sequential windows form the test partition and the earlier windows form the</w:t>
      </w:r>
      <w:r>
        <w:t xml:space="preserve"> </w:t>
      </w:r>
      <w:r>
        <w:t xml:space="preserve">training partition, with a temporal gap of G = 20 windows discarded between them so that no</w:t>
      </w:r>
      <w:r>
        <w:t xml:space="preserve"> </w:t>
      </w:r>
      <w:r>
        <w:t xml:space="preserve">training window shares a raw row with any test window. Normalization parameters were estimated on</w:t>
      </w:r>
      <w:r>
        <w:t xml:space="preserve"> </w:t>
      </w:r>
      <w:r>
        <w:t xml:space="preserve">the training partition only. This yields 5,024 training and 1,276 test windows (316 NoGas; 320</w:t>
      </w:r>
      <w:r>
        <w:t xml:space="preserve"> </w:t>
      </w:r>
      <w:r>
        <w:t xml:space="preserve">each of Smoke, Mixture, and Perfume).</w:t>
      </w:r>
    </w:p>
    <w:p>
      <w:pPr>
        <w:pStyle w:val="BlockText"/>
      </w:pPr>
      <w:r>
        <w:rPr>
          <w:bCs/>
          <w:b/>
        </w:rPr>
        <w:t xml:space="preserve">〔EDITOR’S NOTE — BLOCKING〕</w:t>
      </w:r>
      <w:r>
        <w:t xml:space="preserve"> </w:t>
      </w:r>
      <w:r>
        <w:t xml:space="preserve">Three window counts appear across the manuscript and the</w:t>
      </w:r>
      <w:r>
        <w:t xml:space="preserve"> </w:t>
      </w:r>
      <w:r>
        <w:t xml:space="preserve">authors’ result files: 6,380 (§3.1 arithmetic and §4.3), 6,324 (</w:t>
      </w:r>
      <w:r>
        <w:rPr>
          <w:rStyle w:val="VerbatimChar"/>
        </w:rPr>
        <w:t xml:space="preserve">REPORT.md</w:t>
      </w:r>
      <w:r>
        <w:t xml:space="preserve">,</w:t>
      </w:r>
      <w:r>
        <w:t xml:space="preserve"> </w:t>
      </w:r>
      <w:r>
        <w:t xml:space="preserve">“</w:t>
      </w:r>
      <w:r>
        <w:t xml:space="preserve">after dropping</w:t>
      </w:r>
      <w:r>
        <w:t xml:space="preserve"> </w:t>
      </w:r>
      <w:r>
        <w:t xml:space="preserve">class-boundary-straddling windows</w:t>
      </w:r>
      <w:r>
        <w:t xml:space="preserve">”</w:t>
      </w:r>
      <w:r>
        <w:t xml:space="preserve">), and 1,581 per class implied by the Clopper–Pearson bounds</w:t>
      </w:r>
      <w:r>
        <w:t xml:space="preserve"> </w:t>
      </w:r>
      <w:r>
        <w:t xml:space="preserve">in Table 8. These must be reconciled to one number and one stated procedure, and the text must</w:t>
      </w:r>
      <w:r>
        <w:t xml:space="preserve"> </w:t>
      </w:r>
      <w:r>
        <w:t xml:space="preserve">say explicitly whether windows straddling a class boundary were retained or discarded. The</w:t>
      </w:r>
      <w:r>
        <w:t xml:space="preserve"> </w:t>
      </w:r>
      <w:r>
        <w:t xml:space="preserve">316/320/320/320 asymmetry should be explained in the same sentence.</w:t>
      </w:r>
    </w:p>
    <w:p>
      <w:pPr>
        <w:pStyle w:val="BlockText"/>
      </w:pPr>
      <w:r>
        <w:rPr>
          <w:bCs/>
          <w:b/>
        </w:rPr>
        <w:t xml:space="preserve">〔EDITOR’S NOTE — BLOCKING〕</w:t>
      </w:r>
      <w:r>
        <w:t xml:space="preserve"> </w:t>
      </w:r>
      <w:r>
        <w:t xml:space="preserve">The split is generated once and is not reseeded across runs.</w:t>
      </w:r>
      <w:r>
        <w:t xml:space="preserve"> </w:t>
      </w:r>
      <w:r>
        <w:t xml:space="preserve">The following sentence must be added, because it changes how every ± in the paper is read: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block-wise partition is fixed across all runs; reported standard deviations therefore</w:t>
      </w:r>
      <w:r>
        <w:rPr>
          <w:iCs/>
          <w:i/>
        </w:rPr>
        <w:t xml:space="preserve"> </w:t>
      </w:r>
      <w:r>
        <w:rPr>
          <w:iCs/>
          <w:i/>
        </w:rPr>
        <w:t xml:space="preserve">reflect model-initialization variance and exclude data-partition variance, which is generally</w:t>
      </w:r>
      <w:r>
        <w:rPr>
          <w:iCs/>
          <w:i/>
        </w:rPr>
        <w:t xml:space="preserve"> </w:t>
      </w:r>
      <w:r>
        <w:rPr>
          <w:iCs/>
          <w:i/>
        </w:rPr>
        <w:t xml:space="preserve">the larger of the two in small-sample comparison (Bouthillier et al. 2021).</w:t>
      </w:r>
      <w:r>
        <w:rPr>
          <w:iCs/>
          <w:i/>
        </w:rPr>
        <w:t xml:space="preserve">”</w:t>
      </w:r>
      <w:r>
        <w:t xml:space="preserve"> </w:t>
      </w:r>
      <w:r>
        <w:t xml:space="preserve">[CITATION NEEDED]</w:t>
      </w:r>
    </w:p>
    <w:bookmarkEnd w:id="26"/>
    <w:bookmarkStart w:id="27" w:name="system-architecture-paragraph-to-insert"/>
    <w:p>
      <w:pPr>
        <w:pStyle w:val="Heading3"/>
      </w:pPr>
      <w:r>
        <w:t xml:space="preserve">3.2 System architecture — paragraph to insert</w:t>
      </w:r>
    </w:p>
    <w:p>
      <w:pPr>
        <w:pStyle w:val="FirstParagraph"/>
      </w:pPr>
      <w:r>
        <w:rPr>
          <w:bCs/>
          <w:b/>
        </w:rPr>
        <w:t xml:space="preserve">Insert after the four design principles.</w:t>
      </w:r>
    </w:p>
    <w:p>
      <w:pPr>
        <w:pStyle w:val="BodyText"/>
      </w:pPr>
      <w:r>
        <w:t xml:space="preserve">The framework is advisory. It occupies the alarm-management and operator-support layer and does</w:t>
      </w:r>
      <w:r>
        <w:t xml:space="preserve"> </w:t>
      </w:r>
      <w:r>
        <w:t xml:space="preserve">not actuate. The action labeled</w:t>
      </w:r>
      <w:r>
        <w:t xml:space="preserve"> </w:t>
      </w:r>
      <w:r>
        <w:rPr>
          <w:iCs/>
          <w:i/>
        </w:rPr>
        <w:t xml:space="preserve">Emergency Shutdown</w:t>
      </w:r>
      <w:r>
        <w:t xml:space="preserve"> </w:t>
      </w:r>
      <w:r>
        <w:t xml:space="preserve">denotes a recommendation that the operator</w:t>
      </w:r>
      <w:r>
        <w:t xml:space="preserve"> </w:t>
      </w:r>
      <w:r>
        <w:t xml:space="preserve">initiate the facility’s existing emergency shutdown procedure; it does not command a trip. The</w:t>
      </w:r>
      <w:r>
        <w:t xml:space="preserve"> </w:t>
      </w:r>
      <w:r>
        <w:t xml:space="preserve">safety instrumented function remains an independent, deterministic, separately verified layer,</w:t>
      </w:r>
      <w:r>
        <w:t xml:space="preserve"> </w:t>
      </w:r>
      <w:r>
        <w:t xml:space="preserve">consistent with the independence requirement of layer-of-protection analysis and with the absence</w:t>
      </w:r>
      <w:r>
        <w:t xml:space="preserve"> </w:t>
      </w:r>
      <w:r>
        <w:t xml:space="preserve">of any established certification pathway for a learned component within a safety instrumented</w:t>
      </w:r>
      <w:r>
        <w:t xml:space="preserve"> </w:t>
      </w:r>
      <w:r>
        <w:t xml:space="preserve">function under IEC 61511 [CITATION NEEDED]. All results in this paper are obtained with the</w:t>
      </w:r>
      <w:r>
        <w:t xml:space="preserve"> </w:t>
      </w:r>
      <w:r>
        <w:t xml:space="preserve">framework in this advisory position, and the facility’s protective function is unaffected by its</w:t>
      </w:r>
      <w:r>
        <w:t xml:space="preserve"> </w:t>
      </w:r>
      <w:r>
        <w:t xml:space="preserve">removal.</w:t>
      </w:r>
    </w:p>
    <w:bookmarkEnd w:id="27"/>
    <w:bookmarkStart w:id="28" w:name="decision-agent-full-replacement"/>
    <w:p>
      <w:pPr>
        <w:pStyle w:val="Heading3"/>
      </w:pPr>
      <w:r>
        <w:t xml:space="preserve">3.3 Decision Agent — full replacement</w:t>
      </w:r>
    </w:p>
    <w:p>
      <w:pPr>
        <w:pStyle w:val="BlockText"/>
      </w:pPr>
      <w:r>
        <w:rPr>
          <w:bCs/>
          <w:b/>
        </w:rPr>
        <w:t xml:space="preserve">〔EDITOR’S NOTE — BLOCKING, W1〕</w:t>
      </w:r>
      <w:r>
        <w:t xml:space="preserve"> </w:t>
      </w:r>
      <w:r>
        <w:t xml:space="preserve">The submitted §3.3 and §4.4 describe reinforcement</w:t>
      </w:r>
      <w:r>
        <w:t xml:space="preserve"> </w:t>
      </w:r>
      <w:r>
        <w:t xml:space="preserve">learning: an asymmetric reward with four components, ε-greedy action selection, 200 episodes of</w:t>
      </w:r>
      <w:r>
        <w:t xml:space="preserve"> </w:t>
      </w:r>
      <w:r>
        <w:t xml:space="preserve">replay, cumulative reward, and a Huber loss. The authors’ own</w:t>
      </w:r>
      <w:r>
        <w:t xml:space="preserve"> </w:t>
      </w:r>
      <w:r>
        <w:rPr>
          <w:rStyle w:val="VerbatimChar"/>
        </w:rPr>
        <w:t xml:space="preserve">retrain/results/REPORT.md</w:t>
      </w:r>
      <w:r>
        <w:t xml:space="preserve"> </w:t>
      </w:r>
      <w:r>
        <w:t xml:space="preserve">states that the model producing every reported number is trained by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cost-weighted</w:t>
      </w:r>
      <w:r>
        <w:rPr>
          <w:iCs/>
          <w:i/>
        </w:rPr>
        <w:t xml:space="preserve"> </w:t>
      </w:r>
      <w:r>
        <w:rPr>
          <w:iCs/>
          <w:i/>
        </w:rPr>
        <w:t xml:space="preserve">cross-entropy against rule-oracle action.</w:t>
      </w:r>
      <w:r>
        <w:rPr>
          <w:iCs/>
          <w:i/>
        </w:rPr>
        <w:t xml:space="preserve">”</w:t>
      </w:r>
      <w:r>
        <w:t xml:space="preserve"> </w:t>
      </w:r>
      <w:r>
        <w:t xml:space="preserve">That is supervised classification with per-sample</w:t>
      </w:r>
      <w:r>
        <w:t xml:space="preserve"> </w:t>
      </w:r>
      <w:r>
        <w:t xml:space="preserve">loss weights: no reward is evaluated, no policy is improved, no return is bootstrapped. The</w:t>
      </w:r>
      <w:r>
        <w:t xml:space="preserve"> </w:t>
      </w:r>
      <w:r>
        <w:t xml:space="preserve">replacement below describes the model that produced the results. Figure 7 and the</w:t>
      </w:r>
      <w:r>
        <w:t xml:space="preserve"> </w:t>
      </w:r>
      <w:r>
        <w:t xml:space="preserve">“</w:t>
      </w:r>
      <w:r>
        <w:t xml:space="preserve">Training</w:t>
      </w:r>
      <w:r>
        <w:t xml:space="preserve"> </w:t>
      </w:r>
      <w:r>
        <w:t xml:space="preserve">dynamics</w:t>
      </w:r>
      <w:r>
        <w:t xml:space="preserve">”</w:t>
      </w:r>
      <w:r>
        <w:t xml:space="preserve"> </w:t>
      </w:r>
      <w:r>
        <w:t xml:space="preserve">subsection of §4.4 must be deleted with it.</w:t>
      </w:r>
      <w:r>
        <w:t xml:space="preserve"> </w:t>
      </w:r>
      <w:r>
        <w:rPr>
          <w:bCs/>
          <w:b/>
        </w:rPr>
        <w:t xml:space="preserve">This correction is not optional and</w:t>
      </w:r>
      <w:r>
        <w:rPr>
          <w:bCs/>
          <w:b/>
        </w:rPr>
        <w:t xml:space="preserve"> </w:t>
      </w:r>
      <w:r>
        <w:rPr>
          <w:bCs/>
          <w:b/>
        </w:rPr>
        <w:t xml:space="preserve">should carry explicit co-author sign-off.</w:t>
      </w:r>
    </w:p>
    <w:p>
      <w:pPr>
        <w:pStyle w:val="FirstParagraph"/>
      </w:pPr>
      <w:r>
        <w:rPr>
          <w:bCs/>
          <w:b/>
        </w:rPr>
        <w:t xml:space="preserve">Decision module.</w:t>
      </w:r>
      <w:r>
        <w:t xml:space="preserve"> </w:t>
      </w:r>
      <w:r>
        <w:t xml:space="preserve">The decision module maps the 22-dimensional monitoring state φ_t to one of</w:t>
      </w:r>
      <w:r>
        <w:t xml:space="preserve"> </w:t>
      </w:r>
      <w:r>
        <w:t xml:space="preserve">five operator-facing actions (Table 3). It is a feedforward network with a dueling value–advantage</w:t>
      </w:r>
      <w:r>
        <w:t xml:space="preserve"> </w:t>
      </w:r>
      <w:r>
        <w:t xml:space="preserve">head, trained by</w:t>
      </w:r>
      <w:r>
        <w:t xml:space="preserve"> </w:t>
      </w:r>
      <w:r>
        <w:rPr>
          <w:bCs/>
          <w:b/>
        </w:rPr>
        <w:t xml:space="preserve">cost-weighted cross-entropy</w:t>
      </w:r>
      <w:r>
        <w:t xml:space="preserve"> </w:t>
      </w:r>
      <w:r>
        <w:t xml:space="preserve">on the training partition. Target actions are</w:t>
      </w:r>
      <w:r>
        <w:t xml:space="preserve"> </w:t>
      </w:r>
      <w:r>
        <w:t xml:space="preserve">generated by a deterministic map from the ground-truth class to its acceptable action set:</w:t>
      </w:r>
      <w:r>
        <w:t xml:space="preserve"> </w:t>
      </w:r>
      <w:r>
        <w:t xml:space="preserve">NoGas→{0}, Smoke→{3}, Mixture→{4}, Perfume→{1, 2}. Each training sample carries a scalar loss</w:t>
      </w:r>
      <w:r>
        <w:t xml:space="preserve"> </w:t>
      </w:r>
      <w:r>
        <w:t xml:space="preserve">weight w(g_t) encoding the asymmetry of consequence: w = c_miss for hazardous classes</w:t>
      </w:r>
      <w:r>
        <w:t xml:space="preserve"> </w:t>
      </w:r>
      <w:r>
        <w:t xml:space="preserve">(Smoke, Mixture) and w = c_false otherwise, with the cost ratio C = c_miss / c_false. The</w:t>
      </w:r>
      <w:r>
        <w:t xml:space="preserve"> </w:t>
      </w:r>
      <w:r>
        <w:t xml:space="preserve">objective is</w:t>
      </w:r>
    </w:p>
    <w:p>
      <w:pPr>
        <w:pStyle w:val="BodyText"/>
      </w:pPr>
      <w:r>
        <w:t xml:space="preserve">    L(θ) = − (1/N) Σ_t w(g_t) · log p_θ(a*(g_t) | φ_t) ………………..(1)</w:t>
      </w:r>
    </w:p>
    <w:p>
      <w:pPr>
        <w:pStyle w:val="BodyText"/>
      </w:pPr>
      <w:r>
        <w:t xml:space="preserve">where a*(·) is the target action map, p_θ is the softmax over the five action scores, and N is</w:t>
      </w:r>
      <w:r>
        <w:t xml:space="preserve"> </w:t>
      </w:r>
      <w:r>
        <w:t xml:space="preserve">the number of training samples. The deployed configuration uses C = 8:1. Section 4.x reports the</w:t>
      </w:r>
      <w:r>
        <w:t xml:space="preserve"> </w:t>
      </w:r>
      <w:r>
        <w:t xml:space="preserve">full sweep C ∈ {1:1, …, 20:1}.</w:t>
      </w:r>
    </w:p>
    <w:p>
      <w:pPr>
        <w:pStyle w:val="BlockText"/>
      </w:pPr>
      <w:r>
        <w:rPr>
          <w:bCs/>
          <w:b/>
        </w:rPr>
        <w:t xml:space="preserve">〔EDITOR’S NOTE〕</w:t>
      </w:r>
      <w:r>
        <w:t xml:space="preserve"> </w:t>
      </w:r>
      <w:r>
        <w:t xml:space="preserve">Two consequences of this formulation must be stated in the text, because</w:t>
      </w:r>
      <w:r>
        <w:t xml:space="preserve"> </w:t>
      </w:r>
      <w:r>
        <w:t xml:space="preserve">a reviewer will derive them independently: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target action is a deterministic function of the class label.</w:t>
      </w:r>
      <w:r>
        <w:t xml:space="preserve"> </w:t>
      </w:r>
      <w:r>
        <w:t xml:space="preserve">Decision accuracy is</w:t>
      </w:r>
      <w:r>
        <w:t xml:space="preserve"> </w:t>
      </w:r>
      <w:r>
        <w:t xml:space="preserve">therefore four-class gas classification accuracy composed with a fixed map, not a distinct</w:t>
      </w:r>
      <w:r>
        <w:t xml:space="preserve"> </w:t>
      </w:r>
      <w:r>
        <w:t xml:space="preserve">quantity. The paper’s argument must be reframed accordingly: what differs between the</w:t>
      </w:r>
      <w:r>
        <w:t xml:space="preserve"> </w:t>
      </w:r>
      <w:r>
        <w:t xml:space="preserve">decision framing and the classification framing is not the</w:t>
      </w:r>
      <w:r>
        <w:t xml:space="preserve"> </w:t>
      </w:r>
      <w:r>
        <w:rPr>
          <w:iCs/>
          <w:i/>
        </w:rPr>
        <w:t xml:space="preserve">task</w:t>
      </w:r>
      <w:r>
        <w:t xml:space="preserve"> </w:t>
      </w:r>
      <w:r>
        <w:t xml:space="preserve">but the</w:t>
      </w:r>
      <w:r>
        <w:t xml:space="preserve"> </w:t>
      </w:r>
      <w:r>
        <w:rPr>
          <w:iCs/>
          <w:i/>
        </w:rPr>
        <w:t xml:space="preserve">error metric</w:t>
      </w:r>
      <w:r>
        <w:t xml:space="preserve"> </w:t>
      </w:r>
      <w:r>
        <w:t xml:space="preserve">—</w:t>
      </w:r>
      <w:r>
        <w:t xml:space="preserve"> </w:t>
      </w:r>
      <w:r>
        <w:t xml:space="preserve">which is a real and defensible contribution, and is what the LOCO and perturbation results</w:t>
      </w:r>
      <w:r>
        <w:t xml:space="preserve"> </w:t>
      </w:r>
      <w:r>
        <w:t xml:space="preserve">actually demonstrate.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deployed C = 8:1 is not the accuracy optimum</w:t>
      </w:r>
      <w:r>
        <w:t xml:space="preserve"> </w:t>
      </w:r>
      <w:r>
        <w:t xml:space="preserve">(C = 6:1 is, at 0.9658) and was</w:t>
      </w:r>
      <w:r>
        <w:t xml:space="preserve"> </w:t>
      </w:r>
      <w:r>
        <w:t xml:space="preserve">selected on test-set variance. Either re-select on a validation split or state the</w:t>
      </w:r>
      <w:r>
        <w:t xml:space="preserve"> </w:t>
      </w:r>
      <w:r>
        <w:t xml:space="preserve">selection criterion explicitly and note the confound.</w:t>
      </w:r>
    </w:p>
    <w:bookmarkEnd w:id="28"/>
    <w:bookmarkStart w:id="29" w:name="Xe231fc0ed3bacf9216208620f0bc90c9aa7a2f7"/>
    <w:p>
      <w:pPr>
        <w:pStyle w:val="Heading3"/>
      </w:pPr>
      <w:r>
        <w:t xml:space="preserve">3.3 Anomaly Detection Agent — passage to correct</w:t>
      </w:r>
    </w:p>
    <w:p>
      <w:pPr>
        <w:pStyle w:val="BlockText"/>
      </w:pPr>
      <w:r>
        <w:rPr>
          <w:bCs/>
          <w:b/>
        </w:rPr>
        <w:t xml:space="preserve">〔EDITOR’S NOTE — BLOCKING, W5〕</w:t>
      </w:r>
      <w:r>
        <w:t xml:space="preserve"> </w:t>
      </w:r>
      <w:r>
        <w:t xml:space="preserve">Table 5 reports 79 false positives on 1,580 normal</w:t>
      </w:r>
      <w:r>
        <w:t xml:space="preserve"> </w:t>
      </w:r>
      <w:r>
        <w:t xml:space="preserve">windows — exactly 5.000%, the nominal value of a 95th-percentile threshold evaluated on the</w:t>
      </w:r>
      <w:r>
        <w:t xml:space="preserve"> </w:t>
      </w:r>
      <w:r>
        <w:t xml:space="preserve">same sample that defined it. The stated procedure (τ fitted on the NoGas</w:t>
      </w:r>
      <w:r>
        <w:t xml:space="preserve"> </w:t>
      </w:r>
      <w:r>
        <w:rPr>
          <w:iCs/>
          <w:i/>
        </w:rPr>
        <w:t xml:space="preserve">training</w:t>
      </w:r>
      <w:r>
        <w:t xml:space="preserve"> </w:t>
      </w:r>
      <w:r>
        <w:t xml:space="preserve">partition,</w:t>
      </w:r>
      <w:r>
        <w:t xml:space="preserve"> </w:t>
      </w:r>
      <w:r>
        <w:t xml:space="preserve">evaluated on all normal windows) would not produce an exact 5.000%. Either the text</w:t>
      </w:r>
      <w:r>
        <w:t xml:space="preserve"> </w:t>
      </w:r>
      <w:r>
        <w:t xml:space="preserve">mis-describes the procedure or the evaluation is in-sample; the reported ROC-AUC of 0.963 is</w:t>
      </w:r>
      <w:r>
        <w:t xml:space="preserve"> </w:t>
      </w:r>
      <w:r>
        <w:t xml:space="preserve">in any case computed over all 6,380 windows, including those the autoencoder was trained on.</w:t>
      </w:r>
      <w:r>
        <w:t xml:space="preserve"> </w:t>
      </w:r>
      <w:r>
        <w:t xml:space="preserve">Refit τ on a disjoint calibration split, re-evaluate on held-out NoGas windows only, and</w:t>
      </w:r>
      <w:r>
        <w:t xml:space="preserve"> </w:t>
      </w:r>
      <w:r>
        <w:t xml:space="preserve">re-report AUC, TPR, and FPR.</w:t>
      </w:r>
    </w:p>
    <w:p>
      <w:pPr>
        <w:pStyle w:val="BlockText"/>
      </w:pPr>
      <w:r>
        <w:t xml:space="preserve">Additionally: because the anomaly score is state feature 0 and is consumed by the framework’s</w:t>
      </w:r>
      <w:r>
        <w:t xml:space="preserve"> </w:t>
      </w:r>
      <w:r>
        <w:t xml:space="preserve">escalation logic, the manuscript must report the</w:t>
      </w:r>
      <w:r>
        <w:t xml:space="preserve"> </w:t>
      </w:r>
      <w:r>
        <w:rPr>
          <w:bCs/>
          <w:b/>
        </w:rPr>
        <w:t xml:space="preserve">per-class anomaly-score distribution</w:t>
      </w:r>
      <w:r>
        <w:t xml:space="preserve"> </w:t>
      </w:r>
      <w:r>
        <w:t xml:space="preserve">and</w:t>
      </w:r>
      <w:r>
        <w:t xml:space="preserve"> </w:t>
      </w:r>
      <w:r>
        <w:t xml:space="preserve">state whether the score ranks hazard monotonically. If it does not, the feature is not</w:t>
      </w:r>
      <w:r>
        <w:t xml:space="preserve"> </w:t>
      </w:r>
      <w:r>
        <w:t xml:space="preserve">performing the function the text assigns it, and this must be said.</w:t>
      </w:r>
    </w:p>
    <w:bookmarkEnd w:id="29"/>
    <w:bookmarkStart w:id="30" w:name="perception-agent-passage-to-correct"/>
    <w:p>
      <w:pPr>
        <w:pStyle w:val="Heading3"/>
      </w:pPr>
      <w:r>
        <w:t xml:space="preserve">3.3 Perception Agent — passage to correct</w:t>
      </w:r>
    </w:p>
    <w:p>
      <w:pPr>
        <w:pStyle w:val="BlockText"/>
      </w:pPr>
      <w:r>
        <w:rPr>
          <w:bCs/>
          <w:b/>
        </w:rPr>
        <w:t xml:space="preserve">〔EDITOR’S NOTE — BLOCKING, W6〕</w:t>
      </w:r>
      <w:r>
        <w:t xml:space="preserve"> </w:t>
      </w:r>
      <w:r>
        <w:t xml:space="preserve">The sentence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image-level split is separate from the</w:t>
      </w:r>
      <w:r>
        <w:rPr>
          <w:iCs/>
          <w:i/>
        </w:rPr>
        <w:t xml:space="preserve"> </w:t>
      </w:r>
      <w:r>
        <w:rPr>
          <w:iCs/>
          <w:i/>
        </w:rPr>
        <w:t xml:space="preserve">sensor-window split described in Section 3.1 and does not create the same temporal leakage</w:t>
      </w:r>
      <w:r>
        <w:rPr>
          <w:iCs/>
          <w:i/>
        </w:rPr>
        <w:t xml:space="preserve"> </w:t>
      </w:r>
      <w:r>
        <w:rPr>
          <w:iCs/>
          <w:i/>
        </w:rPr>
        <w:t xml:space="preserve">risk</w:t>
      </w:r>
      <w:r>
        <w:rPr>
          <w:iCs/>
          <w:i/>
        </w:rPr>
        <w:t xml:space="preserve">”</w:t>
      </w:r>
      <w:r>
        <w:t xml:space="preserve"> </w:t>
      </w:r>
      <w:r>
        <w:t xml:space="preserve">asserts without argument the opposite of what the acquisition protocol implies. The</w:t>
      </w:r>
      <w:r>
        <w:t xml:space="preserve"> </w:t>
      </w:r>
      <w:r>
        <w:t xml:space="preserve">thermal frames are consecutive captures from the same ~90-minute session as the sensor rows;</w:t>
      </w:r>
      <w:r>
        <w:t xml:space="preserve"> </w:t>
      </w:r>
      <w:r>
        <w:t xml:space="preserve">adjacent frames are near-duplicates, and a stratified random 80/20 split over them places</w:t>
      </w:r>
      <w:r>
        <w:t xml:space="preserve"> </w:t>
      </w:r>
      <w:r>
        <w:t xml:space="preserve">near-identical images in both partitions. This is the exact failure mode the authors spend a</w:t>
      </w:r>
      <w:r>
        <w:t xml:space="preserve"> </w:t>
      </w:r>
      <w:r>
        <w:t xml:space="preserve">20-window embargo avoiding on the sensor modality. Re-split the images block-wise and</w:t>
      </w:r>
      <w:r>
        <w:t xml:space="preserve"> </w:t>
      </w:r>
      <w:r>
        <w:t xml:space="preserve">re-report. If accuracy falls, report the fall: it is direct evidence for the paper’s own</w:t>
      </w:r>
      <w:r>
        <w:t xml:space="preserve"> </w:t>
      </w:r>
      <w:r>
        <w:t xml:space="preserve">argument about evaluation protocol, and it strengthens rather than weakens the contribution.</w:t>
      </w:r>
      <w:r>
        <w:t xml:space="preserve"> </w:t>
      </w:r>
      <w:r>
        <w:t xml:space="preserve">Until this is done, 98.8% top-1 must be reported as an optimistic upper bound, not a</w:t>
      </w:r>
      <w:r>
        <w:t xml:space="preserve"> </w:t>
      </w:r>
      <w:r>
        <w:t xml:space="preserve">performance estimate.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results-reframed-passages"/>
    <w:p>
      <w:pPr>
        <w:pStyle w:val="Heading2"/>
      </w:pPr>
      <w:r>
        <w:t xml:space="preserve">4. Results — reframed passages</w:t>
      </w:r>
    </w:p>
    <w:bookmarkStart w:id="32" w:name="model-comparison-replacement-text"/>
    <w:p>
      <w:pPr>
        <w:pStyle w:val="Heading3"/>
      </w:pPr>
      <w:r>
        <w:t xml:space="preserve">4.5 Model comparison — replacement text</w:t>
      </w:r>
    </w:p>
    <w:p>
      <w:pPr>
        <w:pStyle w:val="FirstParagraph"/>
      </w:pPr>
      <w:r>
        <w:t xml:space="preserve">Eight models — the cost-weighted policy, an unweighted network of identical topology, a</w:t>
      </w:r>
      <w:r>
        <w:t xml:space="preserve"> </w:t>
      </w:r>
      <w:r>
        <w:t xml:space="preserve">multilayer perceptron, gradient boosting, a support vector classifier, a random forest, a</w:t>
      </w:r>
      <w:r>
        <w:t xml:space="preserve"> </w:t>
      </w:r>
      <w:r>
        <w:t xml:space="preserve">recurrent network over raw windows, and a conservative offline-RL baseline — were trained on the</w:t>
      </w:r>
      <w:r>
        <w:t xml:space="preserve"> </w:t>
      </w:r>
      <w:r>
        <w:t xml:space="preserve">same training partition with the same five initialization seeds and evaluated on the same</w:t>
      </w:r>
      <w:r>
        <w:t xml:space="preserve"> </w:t>
      </w:r>
      <w:r>
        <w:t xml:space="preserve">block-wise holdout (Table 7).</w:t>
      </w:r>
    </w:p>
    <w:p>
      <w:pPr>
        <w:pStyle w:val="BodyText"/>
      </w:pPr>
      <w:r>
        <w:rPr>
          <w:bCs/>
          <w:b/>
        </w:rPr>
        <w:t xml:space="preserve">All eight fall within 3.3 accuracy points of one another</w:t>
      </w:r>
      <w:r>
        <w:t xml:space="preserve"> </w:t>
      </w:r>
      <w:r>
        <w:t xml:space="preserve">(0.9437–0.9769). The highest point</w:t>
      </w:r>
      <w:r>
        <w:t xml:space="preserve"> </w:t>
      </w:r>
      <w:r>
        <w:t xml:space="preserve">accuracy belongs to the</w:t>
      </w:r>
      <w:r>
        <w:t xml:space="preserve"> </w:t>
      </w:r>
      <w:r>
        <w:rPr>
          <w:bCs/>
          <w:b/>
        </w:rPr>
        <w:t xml:space="preserve">random forest</w:t>
      </w:r>
      <w:r>
        <w:t xml:space="preserve"> </w:t>
      </w:r>
      <w:r>
        <w:t xml:space="preserve">(0.9769 ± 0.0086), which also has the lowest variance;</w:t>
      </w:r>
      <w:r>
        <w:t xml:space="preserve"> </w:t>
      </w:r>
      <w:r>
        <w:t xml:space="preserve">the cost-weighted policy places fourth (0.9633 ± 0.0215). Seven of eight record no danger miss on</w:t>
      </w:r>
      <w:r>
        <w:t xml:space="preserve"> </w:t>
      </w:r>
      <w:r>
        <w:t xml:space="preserve">the clean holdout; gradient boosting records 0.0098 ± 0.0219. No model records a high-severity</w:t>
      </w:r>
      <w:r>
        <w:t xml:space="preserve"> </w:t>
      </w:r>
      <w:r>
        <w:t xml:space="preserve">false alarm.</w:t>
      </w:r>
    </w:p>
    <w:p>
      <w:pPr>
        <w:pStyle w:val="BodyText"/>
      </w:pPr>
      <w:r>
        <w:rPr>
          <w:bCs/>
          <w:b/>
        </w:rPr>
        <w:t xml:space="preserve">We assert no ranking among these models, and the design does not support one.</w:t>
      </w:r>
      <w:r>
        <w:t xml:space="preserve"> </w:t>
      </w:r>
      <w:r>
        <w:t xml:space="preserve">With n = 5</w:t>
      </w:r>
      <w:r>
        <w:t xml:space="preserve"> </w:t>
      </w:r>
      <w:r>
        <w:t xml:space="preserve">paired seeds, the two-sided Wilcoxon signed-rank test has a minimum attainable p-value of</w:t>
      </w:r>
      <w:r>
        <w:t xml:space="preserve"> </w:t>
      </w:r>
      <w:r>
        <w:t xml:space="preserve">2^(1−n) = 0.0625; no comparison in this design can reach α = 0.05 at any effect size. The</w:t>
      </w:r>
      <w:r>
        <w:t xml:space="preserve"> </w:t>
      </w:r>
      <w:r>
        <w:t xml:space="preserve">smallest observed p-value is 0.1875 (random forest). Because the block-wise partition is fixed</w:t>
      </w:r>
      <w:r>
        <w:t xml:space="preserve"> </w:t>
      </w:r>
      <w:r>
        <w:t xml:space="preserve">across runs, the reported standard deviations additionally exclude data-partition variance. The</w:t>
      </w:r>
      <w:r>
        <w:t xml:space="preserve"> </w:t>
      </w:r>
      <w:r>
        <w:t xml:space="preserve">appropriate reading of Table 7 is that these eight models are</w:t>
      </w:r>
      <w:r>
        <w:t xml:space="preserve"> </w:t>
      </w:r>
      <w:r>
        <w:rPr>
          <w:bCs/>
          <w:b/>
        </w:rPr>
        <w:t xml:space="preserve">not distinguishable on</w:t>
      </w:r>
      <w:r>
        <w:rPr>
          <w:bCs/>
          <w:b/>
        </w:rPr>
        <w:t xml:space="preserve"> </w:t>
      </w:r>
      <w:r>
        <w:rPr>
          <w:bCs/>
          <w:b/>
        </w:rPr>
        <w:t xml:space="preserve">in-distribution accuracy under this protocol</w:t>
      </w:r>
      <w:r>
        <w:t xml:space="preserve"> </w:t>
      </w:r>
      <w:r>
        <w:t xml:space="preserve">— which is the premise for everything that</w:t>
      </w:r>
      <w:r>
        <w:t xml:space="preserve"> </w:t>
      </w:r>
      <w:r>
        <w:t xml:space="preserve">follows, and is more useful than a ranking would be.</w:t>
      </w:r>
    </w:p>
    <w:p>
      <w:pPr>
        <w:pStyle w:val="BlockText"/>
      </w:pPr>
      <w:r>
        <w:rPr>
          <w:bCs/>
          <w:b/>
        </w:rPr>
        <w:t xml:space="preserve">〔EDITOR’S NOTE — BLOCKING, W4〕</w:t>
      </w:r>
      <w:r>
        <w:t xml:space="preserve"> </w:t>
      </w:r>
      <w:r>
        <w:t xml:space="preserve">The claim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no baseline significantly outperforms ARXIS at</w:t>
      </w:r>
      <w:r>
        <w:rPr>
          <w:iCs/>
          <w:i/>
        </w:rPr>
        <w:t xml:space="preserve"> </w:t>
      </w:r>
      <w:r>
        <w:rPr>
          <w:iCs/>
          <w:i/>
        </w:rPr>
        <w:t xml:space="preserve">α = 0.05</w:t>
      </w:r>
      <w:r>
        <w:rPr>
          <w:iCs/>
          <w:i/>
        </w:rPr>
        <w:t xml:space="preserve">”</w:t>
      </w:r>
      <w:r>
        <w:t xml:space="preserve"> </w:t>
      </w:r>
      <w:r>
        <w:t xml:space="preserve">must be deleted from the Summary, §4.5, §5.3, and §7. It is true, unfalsifiable</w:t>
      </w:r>
      <w:r>
        <w:t xml:space="preserve"> </w:t>
      </w:r>
      <w:r>
        <w:t xml:space="preserve">under this design, and — since the random forest has the higher point estimate — rhetorically</w:t>
      </w:r>
      <w:r>
        <w:t xml:space="preserve"> </w:t>
      </w:r>
      <w:r>
        <w:t xml:space="preserve">reversed. If the authors wish to make a positive claim of equivalence, the correct instrument</w:t>
      </w:r>
      <w:r>
        <w:t xml:space="preserve"> </w:t>
      </w:r>
      <w:r>
        <w:t xml:space="preserve">is a Bayesian correlated t-test with a region of practical equivalence (Benavoli et al. 2017)</w:t>
      </w:r>
      <w:r>
        <w:t xml:space="preserve"> </w:t>
      </w:r>
      <w:r>
        <w:t xml:space="preserve">over ≥29 randomized runs varying seed, split, augmentation, and hyperparameter draw</w:t>
      </w:r>
      <w:r>
        <w:t xml:space="preserve"> </w:t>
      </w:r>
      <w:r>
        <w:t xml:space="preserve">(Bouthillier et al. 2021). That would license the far stronger sentence: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cost-weighted</w:t>
      </w:r>
      <w:r>
        <w:rPr>
          <w:iCs/>
          <w:i/>
        </w:rPr>
        <w:t xml:space="preserve"> </w:t>
      </w:r>
      <w:r>
        <w:rPr>
          <w:iCs/>
          <w:i/>
        </w:rPr>
        <w:t xml:space="preserve">policy and the classical baselines are practically equivalent on this benchmark, with</w:t>
      </w:r>
      <w:r>
        <w:rPr>
          <w:iCs/>
          <w:i/>
        </w:rPr>
        <w:t xml:space="preserve"> </w:t>
      </w:r>
      <w:r>
        <w:rPr>
          <w:iCs/>
          <w:i/>
        </w:rPr>
        <w:t xml:space="preserve">posterior probability p.</w:t>
      </w:r>
      <w:r>
        <w:rPr>
          <w:iCs/>
          <w:i/>
        </w:rPr>
        <w:t xml:space="preserve">”</w:t>
      </w:r>
      <w:r>
        <w:t xml:space="preserve"> </w:t>
      </w:r>
      <w:r>
        <w:t xml:space="preserve">[CITATION NEEDED for both]</w:t>
      </w:r>
    </w:p>
    <w:p>
      <w:pPr>
        <w:pStyle w:val="BlockText"/>
      </w:pPr>
      <w:r>
        <w:rPr>
          <w:bCs/>
          <w:b/>
        </w:rPr>
        <w:t xml:space="preserve">〔EDITOR’S NOTE〕</w:t>
      </w:r>
      <w:r>
        <w:t xml:space="preserve"> </w:t>
      </w:r>
      <w:r>
        <w:t xml:space="preserve">Table 7’s 0.9633 and the paper’s headline 94.44% are two values for the</w:t>
      </w:r>
      <w:r>
        <w:t xml:space="preserve"> </w:t>
      </w:r>
      <w:r>
        <w:t xml:space="preserve">same system on the same holdout; the manuscript never reconciles them, nor the MLP’s 0.9616</w:t>
      </w:r>
      <w:r>
        <w:t xml:space="preserve"> </w:t>
      </w:r>
      <w:r>
        <w:t xml:space="preserve">(Table 7) against 98.20% (Table 9). Reconcile or explain the protocol difference in the text.</w:t>
      </w:r>
    </w:p>
    <w:bookmarkEnd w:id="32"/>
    <w:bookmarkStart w:id="33" w:name="Xcbbfb175248d87a8b2b89e1a96fcc870f597921"/>
    <w:p>
      <w:pPr>
        <w:pStyle w:val="Heading3"/>
      </w:pPr>
      <w:r>
        <w:t xml:space="preserve">4.6 Leave-one-class-out evaluation — replacement section</w:t>
      </w:r>
    </w:p>
    <w:p>
      <w:pPr>
        <w:pStyle w:val="FirstParagraph"/>
      </w:pPr>
      <w:r>
        <w:rPr>
          <w:bCs/>
          <w:b/>
        </w:rPr>
        <w:t xml:space="preserve">This is the paper’s principal experiment and should be presented as such</w:t>
      </w:r>
      <w:r>
        <w:t xml:space="preserve">, with a figure of</w:t>
      </w:r>
      <w:r>
        <w:t xml:space="preserve"> </w:t>
      </w:r>
      <w:r>
        <w:t xml:space="preserve">its own.</w:t>
      </w:r>
    </w:p>
    <w:p>
      <w:pPr>
        <w:pStyle w:val="BodyText"/>
      </w:pPr>
      <w:r>
        <w:t xml:space="preserve">For each held-out class, all models were retrained on the remaining three classes and evaluated</w:t>
      </w:r>
      <w:r>
        <w:t xml:space="preserve"> </w:t>
      </w:r>
      <w:r>
        <w:t xml:space="preserve">on the withheld one. Held-out accuracy is 0.0 in every cell</w:t>
      </w:r>
      <w:r>
        <w:t xml:space="preserve"> </w:t>
      </w:r>
      <w:r>
        <w:rPr>
          <w:bCs/>
          <w:b/>
        </w:rPr>
        <w:t xml:space="preserve">by construction</w:t>
      </w:r>
      <w:r>
        <w:t xml:space="preserve">: withholding a</w:t>
      </w:r>
      <w:r>
        <w:t xml:space="preserve"> </w:t>
      </w:r>
      <w:r>
        <w:t xml:space="preserve">class removes its target action from the training label set, so the model cannot emit it. The</w:t>
      </w:r>
      <w:r>
        <w:t xml:space="preserve"> </w:t>
      </w:r>
      <w:r>
        <w:t xml:space="preserve">informative quantities are therefore what the model does</w:t>
      </w:r>
      <w:r>
        <w:t xml:space="preserve"> </w:t>
      </w:r>
      <w:r>
        <w:rPr>
          <w:iCs/>
          <w:i/>
        </w:rPr>
        <w:t xml:space="preserve">instead</w:t>
      </w:r>
      <w:r>
        <w:t xml:space="preserve"> </w:t>
      </w:r>
      <w:r>
        <w:t xml:space="preserve">— whether it fails safe, and</w:t>
      </w:r>
      <w:r>
        <w:t xml:space="preserve"> </w:t>
      </w:r>
      <w:r>
        <w:t xml:space="preserve">how far it escalates.</w:t>
      </w:r>
    </w:p>
    <w:p>
      <w:pPr>
        <w:pStyle w:val="BodyText"/>
      </w:pPr>
      <w:r>
        <w:rPr>
          <w:bCs/>
          <w:b/>
        </w:rPr>
        <w:t xml:space="preserve">Table 8 (revised).</w:t>
      </w:r>
      <w:r>
        <w:t xml:space="preserve"> </w:t>
      </w:r>
      <w:r>
        <w:t xml:space="preserve">Leave-one-class-out results on held-out hazardous classes. Danger-miss</w:t>
      </w:r>
      <w:r>
        <w:t xml:space="preserve"> </w:t>
      </w:r>
      <w:r>
        <w:t xml:space="preserve">counts only the assignment of action 0. Escalation is the proportion of hazardous windows</w:t>
      </w:r>
      <w:r>
        <w:t xml:space="preserve"> </w:t>
      </w:r>
      <w:r>
        <w:t xml:space="preserve">assigned an alarm-grade action (a ≥ 3). n = 1,581 hazardous windows per cell; bounds are 95%</w:t>
      </w:r>
      <w:r>
        <w:t xml:space="preserve"> </w:t>
      </w:r>
      <w:r>
        <w:t xml:space="preserve">one-sided Clopper–Pearson.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Held-out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Danger-miss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CP bound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Escalation (a ≥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Cost-weighted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0.19%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 ± 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Unweighted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0.19%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 ± 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0.19%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 ± 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Smoke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Multilayer perceptron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0.1875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≤ 20.41%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0.811 ± 0.137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Cost-weighted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0.83%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0.298 ± 0.086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Unweighted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0.19%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0.249 ± 0.123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Multilayer perceptron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0.75%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0.289 ± 0.142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0.19%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1.000 ± 0.000</w:t>
            </w:r>
          </w:p>
        </w:tc>
      </w:tr>
    </w:tbl>
    <w:p>
      <w:pPr>
        <w:pStyle w:val="BodyText"/>
      </w:pPr>
      <w:r>
        <w:t xml:space="preserve">Two findings follow, and they point in opposite directions.</w:t>
      </w:r>
    </w:p>
    <w:p>
      <w:pPr>
        <w:pStyle w:val="BodyText"/>
      </w:pPr>
      <w:r>
        <w:rPr>
          <w:bCs/>
          <w:b/>
        </w:rPr>
        <w:t xml:space="preserve">First, in-distribution accuracy does not predict out-of-distribution missed-hazard rate.</w:t>
      </w:r>
      <w:r>
        <w:t xml:space="preserve"> </w:t>
      </w:r>
      <w:r>
        <w:t xml:space="preserve">On</w:t>
      </w:r>
      <w:r>
        <w:t xml:space="preserve"> </w:t>
      </w:r>
      <w:r>
        <w:t xml:space="preserve">held-out Smoke, the multilayer perceptron — statistically indistinguishable from every other</w:t>
      </w:r>
      <w:r>
        <w:t xml:space="preserve"> </w:t>
      </w:r>
      <w:r>
        <w:t xml:space="preserve">model on the clean holdout — assigns the passive</w:t>
      </w:r>
      <w:r>
        <w:t xml:space="preserve"> </w:t>
      </w:r>
      <w:r>
        <w:rPr>
          <w:iCs/>
          <w:i/>
        </w:rPr>
        <w:t xml:space="preserve">Monitor</w:t>
      </w:r>
      <w:r>
        <w:t xml:space="preserve"> </w:t>
      </w:r>
      <w:r>
        <w:t xml:space="preserve">action to 18.7% of unseen</w:t>
      </w:r>
      <w:r>
        <w:t xml:space="preserve"> </w:t>
      </w:r>
      <w:r>
        <w:t xml:space="preserve">hazardous windows (296 of 1,581 in the reference seed; 95% CP bound ≤20.41%), a rate two orders of magnitude above the ≤0.19% bound</w:t>
      </w:r>
      <w:r>
        <w:t xml:space="preserve"> </w:t>
      </w:r>
      <w:r>
        <w:t xml:space="preserve">attained by the other three. Nothing in Table 7 anticipates this.</w:t>
      </w:r>
    </w:p>
    <w:p>
      <w:pPr>
        <w:pStyle w:val="BodyText"/>
      </w:pPr>
      <w:r>
        <w:rPr>
          <w:bCs/>
          <w:b/>
        </w:rPr>
        <w:t xml:space="preserve">Second, and more consequential for how such systems should be evaluated: missed-hazard rate is</w:t>
      </w:r>
      <w:r>
        <w:rPr>
          <w:bCs/>
          <w:b/>
        </w:rPr>
        <w:t xml:space="preserve"> </w:t>
      </w:r>
      <w:r>
        <w:rPr>
          <w:bCs/>
          <w:b/>
        </w:rPr>
        <w:t xml:space="preserve">itself insufficient.</w:t>
      </w:r>
      <w:r>
        <w:t xml:space="preserve"> </w:t>
      </w:r>
      <w:r>
        <w:t xml:space="preserve">On held-out Mixture, all four models record miss rates below 0.5%, yet</w:t>
      </w:r>
      <w:r>
        <w:t xml:space="preserve"> </w:t>
      </w:r>
      <w:r>
        <w:t xml:space="preserve">three of them escalate only about a quarter to a third of unseen hazardous windows to</w:t>
      </w:r>
      <w:r>
        <w:t xml:space="preserve"> </w:t>
      </w:r>
      <w:r>
        <w:t xml:space="preserve">alarm-grade action. The remaining ~70% receive</w:t>
      </w:r>
      <w:r>
        <w:t xml:space="preserve"> </w:t>
      </w:r>
      <w:r>
        <w:rPr>
          <w:iCs/>
          <w:i/>
        </w:rPr>
        <w:t xml:space="preserve">Increase Sampling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Request Verification</w:t>
      </w:r>
      <w:r>
        <w:t xml:space="preserve"> </w:t>
      </w:r>
      <w:r>
        <w:t xml:space="preserve">— a</w:t>
      </w:r>
      <w:r>
        <w:t xml:space="preserve"> </w:t>
      </w:r>
      <w:r>
        <w:t xml:space="preserve">sub-alarm response to the most hazardous class in the corpus, which the miss metric does not</w:t>
      </w:r>
      <w:r>
        <w:t xml:space="preserve"> </w:t>
      </w:r>
      <w:r>
        <w:t xml:space="preserve">register because it counts only the assignment of action 0.</w:t>
      </w:r>
      <w:r>
        <w:t xml:space="preserve"> </w:t>
      </w:r>
      <w:r>
        <w:rPr>
          <w:bCs/>
          <w:b/>
        </w:rPr>
        <w:t xml:space="preserve">Gradient boosting, which is not a</w:t>
      </w:r>
      <w:r>
        <w:rPr>
          <w:bCs/>
          <w:b/>
        </w:rPr>
        <w:t xml:space="preserve"> </w:t>
      </w:r>
      <w:r>
        <w:rPr>
          <w:bCs/>
          <w:b/>
        </w:rPr>
        <w:t xml:space="preserve">cost-weighted model, escalates 100% of the same windows.</w:t>
      </w:r>
      <w:r>
        <w:t xml:space="preserve"> </w:t>
      </w:r>
      <w:r>
        <w:t xml:space="preserve">On the quantity that determines</w:t>
      </w:r>
      <w:r>
        <w:t xml:space="preserve"> </w:t>
      </w:r>
      <w:r>
        <w:t xml:space="preserve">whether an operator is notified, the simplest baseline in this comparison outperforms the</w:t>
      </w:r>
      <w:r>
        <w:t xml:space="preserve"> </w:t>
      </w:r>
      <w:r>
        <w:t xml:space="preserve">cost-weighted policy by a factor of 3.4.</w:t>
      </w:r>
    </w:p>
    <w:p>
      <w:pPr>
        <w:pStyle w:val="BodyText"/>
      </w:pPr>
      <w:r>
        <w:t xml:space="preserve">We report this because it is the more useful result. A metric set that reports missed-hazard</w:t>
      </w:r>
      <w:r>
        <w:t xml:space="preserve"> </w:t>
      </w:r>
      <w:r>
        <w:t xml:space="preserve">rate alone would select the cost-weighted policy over gradient boosting on this evidence, and</w:t>
      </w:r>
      <w:r>
        <w:t xml:space="preserve"> </w:t>
      </w:r>
      <w:r>
        <w:t xml:space="preserve">would be wrong to. Escalation adequacy must be reported alongside miss rate, and a hazardous</w:t>
      </w:r>
      <w:r>
        <w:t xml:space="preserve"> </w:t>
      </w:r>
      <w:r>
        <w:t xml:space="preserve">window answered with a request for verification must not be scored as a success.</w:t>
      </w:r>
    </w:p>
    <w:p>
      <w:pPr>
        <w:pStyle w:val="BlockText"/>
      </w:pPr>
      <w:r>
        <w:rPr>
          <w:bCs/>
          <w:b/>
        </w:rPr>
        <w:t xml:space="preserve">〔EDITOR’S NOTE — BLOCKING, W3〕</w:t>
      </w:r>
      <w:r>
        <w:t xml:space="preserve"> </w:t>
      </w:r>
      <w:r>
        <w:t xml:space="preserve">The escalation column exists in the authors’</w:t>
      </w:r>
      <w:r>
        <w:t xml:space="preserve"> </w:t>
      </w:r>
      <w:r>
        <w:rPr>
          <w:rStyle w:val="VerbatimChar"/>
        </w:rPr>
        <w:t xml:space="preserve">retrain/results/exp3_loco.csv</w:t>
      </w:r>
      <w:r>
        <w:t xml:space="preserve"> </w:t>
      </w:r>
      <w:r>
        <w:t xml:space="preserve">and is absent from the submitted manuscript, while §5.3 asserts</w:t>
      </w:r>
      <w:r>
        <w:t xml:space="preserve"> </w:t>
      </w:r>
      <w:r>
        <w:t xml:space="preserve">that the framework</w:t>
      </w:r>
      <w:r>
        <w:t xml:space="preserve"> </w:t>
      </w:r>
      <w:r>
        <w:t xml:space="preserve">“</w:t>
      </w:r>
      <w:r>
        <w:t xml:space="preserve">uniquely preserves zero danger misses under distribution shift.</w:t>
      </w:r>
      <w:r>
        <w:t xml:space="preserve">”</w:t>
      </w:r>
      <w:r>
        <w:t xml:space="preserve"> </w:t>
      </w:r>
      <w:r>
        <w:t xml:space="preserve">That</w:t>
      </w:r>
      <w:r>
        <w:t xml:space="preserve"> </w:t>
      </w:r>
      <w:r>
        <w:t xml:space="preserve">assertion is not supportable and must be removed. Reporting the escalation column is both the</w:t>
      </w:r>
      <w:r>
        <w:t xml:space="preserve"> </w:t>
      </w:r>
      <w:r>
        <w:t xml:space="preserve">correct action and the better paper. The remaining four models (SVM, random forest, recurrent</w:t>
      </w:r>
      <w:r>
        <w:t xml:space="preserve"> </w:t>
      </w:r>
      <w:r>
        <w:t xml:space="preserve">network, CQL) should be added to this experiment or their absence explained. The provenance</w:t>
      </w:r>
      <w:r>
        <w:t xml:space="preserve"> </w:t>
      </w:r>
      <w:r>
        <w:t xml:space="preserve">caveat recorded in</w:t>
      </w:r>
      <w:r>
        <w:t xml:space="preserve"> </w:t>
      </w:r>
      <w:r>
        <w:rPr>
          <w:rStyle w:val="VerbatimChar"/>
        </w:rPr>
        <w:t xml:space="preserve">NOTE_provenance_exp3.md</w:t>
      </w:r>
      <w:r>
        <w:t xml:space="preserve"> </w:t>
      </w:r>
      <w:r>
        <w:t xml:space="preserve">— that the LOCO grid was executed as independent</w:t>
      </w:r>
      <w:r>
        <w:t xml:space="preserve"> </w:t>
      </w:r>
      <w:r>
        <w:t xml:space="preserve">per-class runs owing to a platform process limit — belongs in a reproducibility statement.</w:t>
      </w:r>
    </w:p>
    <w:bookmarkEnd w:id="33"/>
    <w:bookmarkStart w:id="34" w:name="cost-asymmetry-sweep-section-to-add"/>
    <w:p>
      <w:pPr>
        <w:pStyle w:val="Heading3"/>
      </w:pPr>
      <w:r>
        <w:t xml:space="preserve">4.7 Cost-asymmetry sweep — section to add</w:t>
      </w:r>
    </w:p>
    <w:p>
      <w:pPr>
        <w:pStyle w:val="BlockText"/>
      </w:pPr>
      <w:r>
        <w:rPr>
          <w:bCs/>
          <w:b/>
        </w:rPr>
        <w:t xml:space="preserve">〔EDITOR’S NOTE〕</w:t>
      </w:r>
      <w:r>
        <w:t xml:space="preserve"> </w:t>
      </w:r>
      <w:r>
        <w:t xml:space="preserve">This experiment exists in</w:t>
      </w:r>
      <w:r>
        <w:t xml:space="preserve"> </w:t>
      </w:r>
      <w:r>
        <w:rPr>
          <w:rStyle w:val="VerbatimChar"/>
        </w:rPr>
        <w:t xml:space="preserve">retrain/results/exp1_pareto.csv</w:t>
      </w:r>
      <w:r>
        <w:t xml:space="preserve"> </w:t>
      </w:r>
      <w:r>
        <w:t xml:space="preserve">and does not</w:t>
      </w:r>
      <w:r>
        <w:t xml:space="preserve"> </w:t>
      </w:r>
      <w:r>
        <w:t xml:space="preserve">appear in the manuscript. It is the direct test of the paper’s original second contribution and</w:t>
      </w:r>
      <w:r>
        <w:t xml:space="preserve"> </w:t>
      </w:r>
      <w:r>
        <w:t xml:space="preserve">it returns a negative result. Reporting it is necessary; it is also, in our judgment, one of</w:t>
      </w:r>
      <w:r>
        <w:t xml:space="preserve"> </w:t>
      </w:r>
      <w:r>
        <w:t xml:space="preserve">the more valuable paragraphs available to this paper.</w:t>
      </w:r>
    </w:p>
    <w:p>
      <w:pPr>
        <w:pStyle w:val="FirstParagraph"/>
      </w:pPr>
      <w:r>
        <w:t xml:space="preserve">The loss-weight ratio C was swept across {1:1, 2:1, 4:1, 6:1, 8:1, 10:1, 12:1, 16:1, 20:1}, five</w:t>
      </w:r>
      <w:r>
        <w:t xml:space="preserve"> </w:t>
      </w:r>
      <w:r>
        <w:t xml:space="preserve">seeds each, with all else held fixed.</w:t>
      </w:r>
    </w:p>
    <w:p>
      <w:pPr>
        <w:pStyle w:val="BodyText"/>
      </w:pPr>
      <w:r>
        <w:rPr>
          <w:bCs/>
          <w:b/>
        </w:rPr>
        <w:t xml:space="preserve">The observed danger-miss rate is zero at every ratio, including the symmetric 1:1 baseline.</w:t>
      </w:r>
      <w:r>
        <w:t xml:space="preserve"> </w:t>
      </w:r>
      <w:r>
        <w:t xml:space="preserve">Accuracy rises modestly to a maximum of 0.9658 at 6:1, is 0.9633 at the deployed 8:1, and falls</w:t>
      </w:r>
      <w:r>
        <w:t xml:space="preserve"> </w:t>
      </w:r>
      <w:r>
        <w:t xml:space="preserve">monotonically thereafter to 0.8396 at 20:1. No high-severity false alarm is recorded at any</w:t>
      </w:r>
      <w:r>
        <w:t xml:space="preserve"> </w:t>
      </w:r>
      <w:r>
        <w:t xml:space="preserve">ratio.</w:t>
      </w:r>
    </w:p>
    <w:p>
      <w:pPr>
        <w:pStyle w:val="BodyText"/>
      </w:pPr>
      <w:r>
        <w:t xml:space="preserve">Cost asymmetry therefore produces no measurable safety benefit on this corpus, and beyond 6:1</w:t>
      </w:r>
      <w:r>
        <w:t xml:space="preserve"> </w:t>
      </w:r>
      <w:r>
        <w:t xml:space="preserve">it costs accuracy — at 20:1, twelve points of it. We attribute this to the structure of the</w:t>
      </w:r>
      <w:r>
        <w:t xml:space="preserve"> </w:t>
      </w:r>
      <w:r>
        <w:t xml:space="preserve">problem rather than to the mechanism: because the target action is a deterministic function of a</w:t>
      </w:r>
      <w:r>
        <w:t xml:space="preserve"> </w:t>
      </w:r>
      <w:r>
        <w:t xml:space="preserve">well-separated class label, and because a miss requires assigning a hazardous window to the</w:t>
      </w:r>
      <w:r>
        <w:t xml:space="preserve"> </w:t>
      </w:r>
      <w:r>
        <w:t xml:space="preserve">class furthest from it, the miss rate is already at the floor before any weighting is applied.</w:t>
      </w:r>
      <w:r>
        <w:t xml:space="preserve"> </w:t>
      </w:r>
      <w:r>
        <w:t xml:space="preserve">The correct inference is not that cost asymmetry is ineffective in general — the cost-sensitive</w:t>
      </w:r>
      <w:r>
        <w:t xml:space="preserve"> </w:t>
      </w:r>
      <w:r>
        <w:t xml:space="preserve">learning literature is unambiguous that it is effective where the error surface is nontrivial</w:t>
      </w:r>
      <w:r>
        <w:t xml:space="preserve"> </w:t>
      </w:r>
      <w:r>
        <w:t xml:space="preserve">(Elkan 2001) [CITATION NEEDED] — but that</w:t>
      </w:r>
      <w:r>
        <w:t xml:space="preserve"> </w:t>
      </w:r>
      <w:r>
        <w:rPr>
          <w:bCs/>
          <w:b/>
        </w:rPr>
        <w:t xml:space="preserve">this benchmark cannot demonstrate it</w:t>
      </w:r>
      <w:r>
        <w:t xml:space="preserve">, and that</w:t>
      </w:r>
      <w:r>
        <w:t xml:space="preserve"> </w:t>
      </w:r>
      <w:r>
        <w:t xml:space="preserve">demonstrating it requires a corpus, or a metric, in which sub-alarm responses carry cost. The</w:t>
      </w:r>
      <w:r>
        <w:t xml:space="preserve"> </w:t>
      </w:r>
      <w:r>
        <w:t xml:space="preserve">LOCO escalation result in Section 4.6 is exactly such a metric, and there the cost-weighted</w:t>
      </w:r>
      <w:r>
        <w:t xml:space="preserve"> </w:t>
      </w:r>
      <w:r>
        <w:t xml:space="preserve">policy does not lead.</w:t>
      </w:r>
    </w:p>
    <w:bookmarkEnd w:id="34"/>
    <w:bookmarkStart w:id="35" w:name="robustness-text-to-revise"/>
    <w:p>
      <w:pPr>
        <w:pStyle w:val="Heading3"/>
      </w:pPr>
      <w:r>
        <w:t xml:space="preserve">4.7 Robustness — text to revise</w:t>
      </w:r>
    </w:p>
    <w:p>
      <w:pPr>
        <w:pStyle w:val="BlockText"/>
      </w:pPr>
      <w:r>
        <w:rPr>
          <w:bCs/>
          <w:b/>
        </w:rPr>
        <w:t xml:space="preserve">〔EDITOR’S NOTE — W12〕</w:t>
      </w:r>
      <w:r>
        <w:t xml:space="preserve"> </w:t>
      </w:r>
      <w:r>
        <w:t xml:space="preserve">Table 9 reports accuracy and danger-miss under perturbation but not</w:t>
      </w:r>
      <w:r>
        <w:t xml:space="preserve"> </w:t>
      </w:r>
      <w:r>
        <w:t xml:space="preserve">false-alarm or mean action severity. Under three-channel dropout, accuracy falls to 29.9% while</w:t>
      </w:r>
      <w:r>
        <w:t xml:space="preserve"> </w:t>
      </w:r>
      <w:r>
        <w:t xml:space="preserve">danger misses remain zero — a combination that is equally consistent with graceful degradation</w:t>
      </w:r>
      <w:r>
        <w:t xml:space="preserve"> </w:t>
      </w:r>
      <w:r>
        <w:t xml:space="preserve">and with a policy that has begun escalating indiscriminately. The reader cannot distinguish</w:t>
      </w:r>
      <w:r>
        <w:t xml:space="preserve"> </w:t>
      </w:r>
      <w:r>
        <w:t xml:space="preserve">them.</w:t>
      </w:r>
      <w:r>
        <w:t xml:space="preserve"> </w:t>
      </w:r>
      <w:r>
        <w:rPr>
          <w:bCs/>
          <w:b/>
        </w:rPr>
        <w:t xml:space="preserve">Add a false-alarm-rate column and a mean-action-severity column to every perturbation</w:t>
      </w:r>
      <w:r>
        <w:rPr>
          <w:bCs/>
          <w:b/>
        </w:rPr>
        <w:t xml:space="preserve"> </w:t>
      </w:r>
      <w:r>
        <w:rPr>
          <w:bCs/>
          <w:b/>
        </w:rPr>
        <w:t xml:space="preserve">row.</w:t>
      </w:r>
      <w:r>
        <w:t xml:space="preserve"> </w:t>
      </w:r>
      <w:r>
        <w:t xml:space="preserve">Both are computable from existing runs.</w:t>
      </w:r>
    </w:p>
    <w:p>
      <w:pPr>
        <w:pStyle w:val="BlockText"/>
      </w:pPr>
      <w:r>
        <w:t xml:space="preserve">Further: the rule-oracle row (100.00%) is the label function evaluated on itself, an identity</w:t>
      </w:r>
      <w:r>
        <w:t xml:space="preserve"> </w:t>
      </w:r>
      <w:r>
        <w:t xml:space="preserve">rather than a measurement, and it requires the true class label so it is not deployable. Label</w:t>
      </w:r>
      <w:r>
        <w:t xml:space="preserve"> </w:t>
      </w:r>
      <w:r>
        <w:t xml:space="preserve">it as such, and add a deployable comparator — a hand-tuned threshold rule on the MQ channels —</w:t>
      </w:r>
      <w:r>
        <w:t xml:space="preserve"> </w:t>
      </w:r>
      <w:r>
        <w:t xml:space="preserve">to every row including the perturbed ones. Without an incumbent-practice baseline under</w:t>
      </w:r>
      <w:r>
        <w:t xml:space="preserve"> </w:t>
      </w:r>
      <w:r>
        <w:t xml:space="preserve">perturbation, the paper’s central robustness claim has nothing to be robust</w:t>
      </w:r>
      <w:r>
        <w:t xml:space="preserve"> </w:t>
      </w:r>
      <w:r>
        <w:rPr>
          <w:iCs/>
          <w:i/>
        </w:rPr>
        <w:t xml:space="preserve">relative to</w:t>
      </w:r>
      <w:r>
        <w:t xml:space="preserve">.</w:t>
      </w:r>
    </w:p>
    <w:p>
      <w:pPr>
        <w:pStyle w:val="BlockText"/>
      </w:pPr>
      <w:r>
        <w:t xml:space="preserve">Finally, the perturbation intensities are unmotivated. Adopt a graded severity structure (five</w:t>
      </w:r>
      <w:r>
        <w:t xml:space="preserve"> </w:t>
      </w:r>
      <w:r>
        <w:t xml:space="preserve">levels per perturbation type) and report a</w:t>
      </w:r>
      <w:r>
        <w:t xml:space="preserve"> </w:t>
      </w:r>
      <w:r>
        <w:rPr>
          <w:bCs/>
          <w:b/>
        </w:rPr>
        <w:t xml:space="preserve">breakdown point</w:t>
      </w:r>
      <w:r>
        <w:t xml:space="preserve"> </w:t>
      </w:r>
      <w:r>
        <w:t xml:space="preserve">per model — the severity at</w:t>
      </w:r>
      <w:r>
        <w:t xml:space="preserve"> </w:t>
      </w:r>
      <w:r>
        <w:t xml:space="preserve">which safety behavior first fails. Channel dropout is the most operationally realistic</w:t>
      </w:r>
      <w:r>
        <w:t xml:space="preserve"> </w:t>
      </w:r>
      <w:r>
        <w:t xml:space="preserve">perturbation for a fixed detector and warrants the full k = 1…7 sweep.</w:t>
      </w:r>
    </w:p>
    <w:p>
      <w:pPr>
        <w:pStyle w:val="FirstParagraph"/>
      </w:pPr>
      <w:r>
        <w:rPr>
          <w:bCs/>
          <w:b/>
        </w:rPr>
        <w:t xml:space="preserve">Revised interpretive paragraph.</w:t>
      </w:r>
      <w:r>
        <w:t xml:space="preserve"> </w:t>
      </w:r>
      <w:r>
        <w:t xml:space="preserve">Under calibration drift of ±40%, the supervised perceptron</w:t>
      </w:r>
      <w:r>
        <w:t xml:space="preserve"> </w:t>
      </w:r>
      <w:r>
        <w:t xml:space="preserve">retains higher decision accuracy than the cost-weighted policy (59.1% vs. 53.7%) while</w:t>
      </w:r>
      <w:r>
        <w:t xml:space="preserve"> </w:t>
      </w:r>
      <w:r>
        <w:t xml:space="preserve">introducing a danger-miss rate of 0.0187; the cost-weighted policy records none. This is the</w:t>
      </w:r>
      <w:r>
        <w:t xml:space="preserve"> </w:t>
      </w:r>
      <w:r>
        <w:t xml:space="preserve">clearest illustration in our results of why accuracy and safety behavior must be reported</w:t>
      </w:r>
      <w:r>
        <w:t xml:space="preserve"> </w:t>
      </w:r>
      <w:r>
        <w:t xml:space="preserve">separately: the more accurate model is the less safe one, and no accuracy table would reveal it.</w:t>
      </w:r>
      <w:r>
        <w:t xml:space="preserve"> </w:t>
      </w:r>
      <w:r>
        <w:t xml:space="preserve">Under channel dropout the ordering reverses on accuracy as well — with one channel removed the</w:t>
      </w:r>
      <w:r>
        <w:t xml:space="preserve"> </w:t>
      </w:r>
      <w:r>
        <w:t xml:space="preserve">policy retains 55.6% against the perceptron’s 36.0% — while both preserve zero misses. We note</w:t>
      </w:r>
      <w:r>
        <w:t xml:space="preserve"> </w:t>
      </w:r>
      <w:r>
        <w:t xml:space="preserve">that at these accuracy levels the models are no longer performing the task in any useful sense,</w:t>
      </w:r>
      <w:r>
        <w:t xml:space="preserve"> </w:t>
      </w:r>
      <w:r>
        <w:t xml:space="preserve">and that</w:t>
      </w:r>
      <w:r>
        <w:t xml:space="preserve"> </w:t>
      </w:r>
      <w:r>
        <w:t xml:space="preserve">“</w:t>
      </w:r>
      <w:r>
        <w:t xml:space="preserve">zero danger misses</w:t>
      </w:r>
      <w:r>
        <w:t xml:space="preserve">”</w:t>
      </w:r>
      <w:r>
        <w:t xml:space="preserve"> </w:t>
      </w:r>
      <w:r>
        <w:t xml:space="preserve">at 29.9% accuracy should be read as a statement about failure</w:t>
      </w:r>
      <w:r>
        <w:t xml:space="preserve"> </w:t>
      </w:r>
      <w:r>
        <w:rPr>
          <w:iCs/>
          <w:i/>
        </w:rPr>
        <w:t xml:space="preserve">mode</w:t>
      </w:r>
      <w:r>
        <w:t xml:space="preserve">, not about fitness for service.</w:t>
      </w:r>
    </w:p>
    <w:bookmarkEnd w:id="35"/>
    <w:bookmarkStart w:id="36" w:name="calibration-replacement-text"/>
    <w:p>
      <w:pPr>
        <w:pStyle w:val="Heading3"/>
      </w:pPr>
      <w:r>
        <w:t xml:space="preserve">4.8 Calibration — replacement text</w:t>
      </w:r>
    </w:p>
    <w:p>
      <w:pPr>
        <w:pStyle w:val="FirstParagraph"/>
      </w:pPr>
      <w:r>
        <w:t xml:space="preserve">Expected calibration error was computed for four uncertainty estimators (Table 10). The deep</w:t>
      </w:r>
      <w:r>
        <w:t xml:space="preserve"> </w:t>
      </w:r>
      <w:r>
        <w:t xml:space="preserve">ensemble attains the lowest mean ECE (0.0123) and is the only estimator whose error is stable</w:t>
      </w:r>
      <w:r>
        <w:t xml:space="preserve"> </w:t>
      </w:r>
      <w:r>
        <w:t xml:space="preserve">across partitions (± 0.0043). For the remaining three,</w:t>
      </w:r>
      <w:r>
        <w:t xml:space="preserve"> </w:t>
      </w:r>
      <w:r>
        <w:rPr>
          <w:bCs/>
          <w:b/>
        </w:rPr>
        <w:t xml:space="preserve">the standard deviation exceeds the</w:t>
      </w:r>
      <w:r>
        <w:rPr>
          <w:bCs/>
          <w:b/>
        </w:rPr>
        <w:t xml:space="preserve"> </w:t>
      </w:r>
      <w:r>
        <w:rPr>
          <w:bCs/>
          <w:b/>
        </w:rPr>
        <w:t xml:space="preserve">differences between them</w:t>
      </w:r>
      <w:r>
        <w:t xml:space="preserve">: raw softmax 0.0489 ± 0.0699, MC dropout 0.0533 ± 0.0692, temperature</w:t>
      </w:r>
      <w:r>
        <w:t xml:space="preserve"> </w:t>
      </w:r>
      <w:r>
        <w:t xml:space="preserve">scaling 0.0319 ± 0.0397. No ranking among those three is supportable from these data.</w:t>
      </w:r>
    </w:p>
    <w:p>
      <w:pPr>
        <w:pStyle w:val="BodyText"/>
      </w:pPr>
      <w:r>
        <w:t xml:space="preserve">The instability is itself the finding. An ECE that varies by a factor of five across</w:t>
      </w:r>
      <w:r>
        <w:t xml:space="preserve"> </w:t>
      </w:r>
      <w:r>
        <w:t xml:space="preserve">initializations of the same model on the same fixed partition is not a property of the</w:t>
      </w:r>
      <w:r>
        <w:t xml:space="preserve"> </w:t>
      </w:r>
      <w:r>
        <w:t xml:space="preserve">calibration method; it is evidence that single-model confidence on this corpus is</w:t>
      </w:r>
      <w:r>
        <w:t xml:space="preserve"> </w:t>
      </w:r>
      <w:r>
        <w:t xml:space="preserve">partition-sensitive to a degree that would matter operationally, since a confidence estimate is</w:t>
      </w:r>
      <w:r>
        <w:t xml:space="preserve"> </w:t>
      </w:r>
      <w:r>
        <w:t xml:space="preserve">what an escalation threshold would be set against. Ensembling removes the instability at five</w:t>
      </w:r>
      <w:r>
        <w:t xml:space="preserve"> </w:t>
      </w:r>
      <w:r>
        <w:t xml:space="preserve">times the inference cost — a trade-off that the edge-deployment budget in Section 4.9 makes</w:t>
      </w:r>
      <w:r>
        <w:t xml:space="preserve"> </w:t>
      </w:r>
      <w:r>
        <w:t xml:space="preserve">non-trivial and that should be stated as such.</w:t>
      </w:r>
    </w:p>
    <w:p>
      <w:pPr>
        <w:pStyle w:val="BlockText"/>
      </w:pPr>
      <w:r>
        <w:rPr>
          <w:bCs/>
          <w:b/>
        </w:rPr>
        <w:t xml:space="preserve">〔EDITOR’S NOTE〕</w:t>
      </w:r>
      <w:r>
        <w:t xml:space="preserve"> </w:t>
      </w:r>
      <w:r>
        <w:t xml:space="preserve">Add: bootstrap confidence intervals, a bin-count sensitivity sweep,</w:t>
      </w:r>
      <w:r>
        <w:t xml:space="preserve"> </w:t>
      </w:r>
      <w:r>
        <w:t xml:space="preserve">class-conditional ECE (the hazardous class is the one an escalation threshold acts on),</w:t>
      </w:r>
      <w:r>
        <w:t xml:space="preserve"> </w:t>
      </w:r>
      <w:r>
        <w:t xml:space="preserve">multiclass Brier score and negative log-likelihood, and reliability diagrams. Also note that</w:t>
      </w:r>
      <w:r>
        <w:t xml:space="preserve"> </w:t>
      </w:r>
      <w:r>
        <w:t xml:space="preserve">the reported p = 0.03125 for temperature scaling and for the deep ensemble is the</w:t>
      </w:r>
      <w:r>
        <w:t xml:space="preserve"> </w:t>
      </w:r>
      <w:r>
        <w:rPr>
          <w:bCs/>
          <w:b/>
        </w:rPr>
        <w:t xml:space="preserve">minimum</w:t>
      </w:r>
      <w:r>
        <w:rPr>
          <w:bCs/>
          <w:b/>
        </w:rPr>
        <w:t xml:space="preserve"> </w:t>
      </w:r>
      <w:r>
        <w:rPr>
          <w:bCs/>
          <w:b/>
        </w:rPr>
        <w:t xml:space="preserve">attainable one-sided p-value at n = 5</w:t>
      </w:r>
      <w:r>
        <w:t xml:space="preserve"> </w:t>
      </w:r>
      <w:r>
        <w:t xml:space="preserve">and means only</w:t>
      </w:r>
      <w:r>
        <w:t xml:space="preserve"> </w:t>
      </w:r>
      <w:r>
        <w:t xml:space="preserve">“</w:t>
      </w:r>
      <w:r>
        <w:t xml:space="preserve">better on all five seeds</w:t>
      </w:r>
      <w:r>
        <w:t xml:space="preserve">”</w:t>
      </w:r>
      <w:r>
        <w:t xml:space="preserve">; it carries</w:t>
      </w:r>
      <w:r>
        <w:t xml:space="preserve"> </w:t>
      </w:r>
      <w:r>
        <w:t xml:space="preserve">no information about effect size.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discussion"/>
    <w:p>
      <w:pPr>
        <w:pStyle w:val="Heading2"/>
      </w:pPr>
      <w:r>
        <w:t xml:space="preserve">5. Discussion</w:t>
      </w:r>
    </w:p>
    <w:p>
      <w:pPr>
        <w:pStyle w:val="BlockText"/>
      </w:pPr>
      <w:r>
        <w:rPr>
          <w:bCs/>
          <w:b/>
        </w:rPr>
        <w:t xml:space="preserve">〔EDITOR’S NOTE〕</w:t>
      </w:r>
      <w:r>
        <w:t xml:space="preserve"> </w:t>
      </w:r>
      <w:r>
        <w:t xml:space="preserve">The submitted Discussion restates results. This rewrite interprets them,</w:t>
      </w:r>
      <w:r>
        <w:t xml:space="preserve"> </w:t>
      </w:r>
      <w:r>
        <w:t xml:space="preserve">states what changes operationally, addresses the objections a reviewer will raise, and does not</w:t>
      </w:r>
      <w:r>
        <w:t xml:space="preserve"> </w:t>
      </w:r>
      <w:r>
        <w:t xml:space="preserve">claim anything the evidence does not carry. The unsupported ablation claim has been removed.</w:t>
      </w:r>
    </w:p>
    <w:bookmarkStart w:id="38" w:name="accuracy-ranking-is-not-a-safety-ranking"/>
    <w:p>
      <w:pPr>
        <w:pStyle w:val="Heading3"/>
      </w:pPr>
      <w:r>
        <w:t xml:space="preserve">5.1 Accuracy ranking is not a safety ranking</w:t>
      </w:r>
    </w:p>
    <w:p>
      <w:pPr>
        <w:pStyle w:val="FirstParagraph"/>
      </w:pPr>
      <w:r>
        <w:t xml:space="preserve">The central empirical result of this study is a dissociation. Under a leakage-controlled</w:t>
      </w:r>
      <w:r>
        <w:t xml:space="preserve"> </w:t>
      </w:r>
      <w:r>
        <w:t xml:space="preserve">protocol, eight model families spanning tree ensembles, kernel methods, feedforward networks,</w:t>
      </w:r>
      <w:r>
        <w:t xml:space="preserve"> </w:t>
      </w:r>
      <w:r>
        <w:t xml:space="preserve">recurrent networks, and offline-RL variants are indistinguishable on in-distribution accuracy —</w:t>
      </w:r>
      <w:r>
        <w:t xml:space="preserve"> </w:t>
      </w:r>
      <w:r>
        <w:t xml:space="preserve">3.3 points separate the best from the worst, and the design cannot resolve differences of that</w:t>
      </w:r>
      <w:r>
        <w:t xml:space="preserve"> </w:t>
      </w:r>
      <w:r>
        <w:t xml:space="preserve">size. Under distribution shift the same models separate by two orders of magnitude on</w:t>
      </w:r>
      <w:r>
        <w:t xml:space="preserve"> </w:t>
      </w:r>
      <w:r>
        <w:t xml:space="preserve">missed-hazard rate, and by a further factor of 3.4 on escalation adequacy. Nothing in the</w:t>
      </w:r>
      <w:r>
        <w:t xml:space="preserve"> </w:t>
      </w:r>
      <w:r>
        <w:t xml:space="preserve">accuracy table predicts either separation, and the ordering is not preserved: the model with the</w:t>
      </w:r>
      <w:r>
        <w:t xml:space="preserve"> </w:t>
      </w:r>
      <w:r>
        <w:t xml:space="preserve">best out-of-distribution miss rate on one held-out hazard is among the worst on escalation for</w:t>
      </w:r>
      <w:r>
        <w:t xml:space="preserve"> </w:t>
      </w:r>
      <w:r>
        <w:t xml:space="preserve">another, and the highest in-distribution accuracy belongs to a random forest that appears in no</w:t>
      </w:r>
      <w:r>
        <w:t xml:space="preserve"> </w:t>
      </w:r>
      <w:r>
        <w:t xml:space="preserve">part of the safety argument.</w:t>
      </w:r>
    </w:p>
    <w:p>
      <w:pPr>
        <w:pStyle w:val="BodyText"/>
      </w:pPr>
      <w:r>
        <w:t xml:space="preserve">The practical consequence is direct. A team selecting a gas-monitoring model on benchmark</w:t>
      </w:r>
      <w:r>
        <w:t xml:space="preserve"> </w:t>
      </w:r>
      <w:r>
        <w:t xml:space="preserve">accuracy — which is what the published literature on this corpus supports them in doing — has no</w:t>
      </w:r>
      <w:r>
        <w:t xml:space="preserve"> </w:t>
      </w:r>
      <w:r>
        <w:t xml:space="preserve">information about how the selected model will behave on a release it was not trained on. That is</w:t>
      </w:r>
      <w:r>
        <w:t xml:space="preserve"> </w:t>
      </w:r>
      <w:r>
        <w:t xml:space="preserve">the condition under which the model will eventually be asked to perform.</w:t>
      </w:r>
    </w:p>
    <w:bookmarkEnd w:id="38"/>
    <w:bookmarkStart w:id="39" w:name="Xe4399cbc134cdb694a9ffb5236d2ae04d706ad3"/>
    <w:p>
      <w:pPr>
        <w:pStyle w:val="Heading3"/>
      </w:pPr>
      <w:r>
        <w:t xml:space="preserve">5.2 Missed-hazard rate is necessary and not sufficient</w:t>
      </w:r>
    </w:p>
    <w:p>
      <w:pPr>
        <w:pStyle w:val="FirstParagraph"/>
      </w:pPr>
      <w:r>
        <w:t xml:space="preserve">The second result is a caution about the obvious remedy. Having established that accuracy is the</w:t>
      </w:r>
      <w:r>
        <w:t xml:space="preserve"> </w:t>
      </w:r>
      <w:r>
        <w:t xml:space="preserve">wrong metric, the natural substitute is missed-hazard rate. Our leave-one-class-out results show</w:t>
      </w:r>
      <w:r>
        <w:t xml:space="preserve"> </w:t>
      </w:r>
      <w:r>
        <w:t xml:space="preserve">this to be insufficient in a specific and consequential way.</w:t>
      </w:r>
    </w:p>
    <w:p>
      <w:pPr>
        <w:pStyle w:val="BodyText"/>
      </w:pPr>
      <w:r>
        <w:t xml:space="preserve">A missed-hazard metric that counts only the fully passive response scores a hazardous window</w:t>
      </w:r>
      <w:r>
        <w:t xml:space="preserve"> </w:t>
      </w:r>
      <w:r>
        <w:t xml:space="preserve">answered with</w:t>
      </w:r>
      <w:r>
        <w:t xml:space="preserve"> </w:t>
      </w:r>
      <w:r>
        <w:rPr>
          <w:iCs/>
          <w:i/>
        </w:rPr>
        <w:t xml:space="preserve">Request Verification</w:t>
      </w:r>
      <w:r>
        <w:t xml:space="preserve"> </w:t>
      </w:r>
      <w:r>
        <w:t xml:space="preserve">as a success. On held-out Mixture, three of four models</w:t>
      </w:r>
      <w:r>
        <w:t xml:space="preserve"> </w:t>
      </w:r>
      <w:r>
        <w:t xml:space="preserve">satisfy the miss metric almost perfectly (≤0.83% at 95% confidence) while escalating only about</w:t>
      </w:r>
      <w:r>
        <w:t xml:space="preserve"> </w:t>
      </w:r>
      <w:r>
        <w:t xml:space="preserve">a quarter to a third of hazardous windows to alarm-grade action. An operator running such a</w:t>
      </w:r>
      <w:r>
        <w:t xml:space="preserve"> </w:t>
      </w:r>
      <w:r>
        <w:t xml:space="preserve">system would receive no alarm for roughly seven in ten windows of the most hazardous class in</w:t>
      </w:r>
      <w:r>
        <w:t xml:space="preserve"> </w:t>
      </w:r>
      <w:r>
        <w:t xml:space="preserve">the corpus, and the safety metric would report success.</w:t>
      </w:r>
    </w:p>
    <w:p>
      <w:pPr>
        <w:pStyle w:val="BodyText"/>
      </w:pPr>
      <w:r>
        <w:t xml:space="preserve">We therefore propose that safety-relevant evaluation of monitoring models report, at minimum:</w:t>
      </w:r>
      <w:r>
        <w:t xml:space="preserve"> </w:t>
      </w:r>
      <w:r>
        <w:t xml:space="preserve">missed-hazard rate with a confidence bound; escalation adequacy against the class-conditional</w:t>
      </w:r>
      <w:r>
        <w:t xml:space="preserve"> </w:t>
      </w:r>
      <w:r>
        <w:t xml:space="preserve">target severity; high-severity false-alarm rate expressed as alarm burden per operator per unit</w:t>
      </w:r>
      <w:r>
        <w:t xml:space="preserve"> </w:t>
      </w:r>
      <w:r>
        <w:t xml:space="preserve">time; degradation of all three under graded sensor loss and calibration drift; and the sample</w:t>
      </w:r>
      <w:r>
        <w:t xml:space="preserve"> </w:t>
      </w:r>
      <w:r>
        <w:t xml:space="preserve">size supporting each zero count. Each of these is cheap to compute and each of them changed a</w:t>
      </w:r>
      <w:r>
        <w:t xml:space="preserve"> </w:t>
      </w:r>
      <w:r>
        <w:t xml:space="preserve">conclusion in this study.</w:t>
      </w:r>
    </w:p>
    <w:bookmarkEnd w:id="39"/>
    <w:bookmarkStart w:id="40" w:name="X8170f25d294be24e65192ae604ddb4f2813d0fc"/>
    <w:p>
      <w:pPr>
        <w:pStyle w:val="Heading3"/>
      </w:pPr>
      <w:r>
        <w:t xml:space="preserve">5.3 What the asymmetric objective did and did not do</w:t>
      </w:r>
    </w:p>
    <w:p>
      <w:pPr>
        <w:pStyle w:val="FirstParagraph"/>
      </w:pPr>
      <w:r>
        <w:t xml:space="preserve">Our cost-ratio sweep returns no measurable effect on miss rate at any ratio from 1:1 to 20:1,</w:t>
      </w:r>
      <w:r>
        <w:t xml:space="preserve"> </w:t>
      </w:r>
      <w:r>
        <w:t xml:space="preserve">and an accuracy penalty above 6:1. We take this seriously rather than setting it aside.</w:t>
      </w:r>
    </w:p>
    <w:p>
      <w:pPr>
        <w:pStyle w:val="BodyText"/>
      </w:pPr>
      <w:r>
        <w:t xml:space="preserve">The reason is structural. Because the target action is a deterministic function of a</w:t>
      </w:r>
      <w:r>
        <w:t xml:space="preserve"> </w:t>
      </w:r>
      <w:r>
        <w:t xml:space="preserve">well-separated class label, and because a missed hazard requires assigning a hazardous window to</w:t>
      </w:r>
      <w:r>
        <w:t xml:space="preserve"> </w:t>
      </w:r>
      <w:r>
        <w:t xml:space="preserve">the class most distant from it in feature space, the miss rate sits at the floor before any</w:t>
      </w:r>
      <w:r>
        <w:t xml:space="preserve"> </w:t>
      </w:r>
      <w:r>
        <w:t xml:space="preserve">weighting is applied. There is no error surface for the asymmetry to reshape. This is a property</w:t>
      </w:r>
      <w:r>
        <w:t xml:space="preserve"> </w:t>
      </w:r>
      <w:r>
        <w:t xml:space="preserve">of the benchmark, not a refutation of cost-sensitive learning — but it has a general implication</w:t>
      </w:r>
      <w:r>
        <w:t xml:space="preserve"> </w:t>
      </w:r>
      <w:r>
        <w:t xml:space="preserve">worth stating:</w:t>
      </w:r>
      <w:r>
        <w:t xml:space="preserve"> </w:t>
      </w:r>
      <w:r>
        <w:rPr>
          <w:bCs/>
          <w:b/>
        </w:rPr>
        <w:t xml:space="preserve">on a saturated, well-separated benchmark, a safety objective cannot be</w:t>
      </w:r>
      <w:r>
        <w:rPr>
          <w:bCs/>
          <w:b/>
        </w:rPr>
        <w:t xml:space="preserve"> </w:t>
      </w:r>
      <w:r>
        <w:rPr>
          <w:bCs/>
          <w:b/>
        </w:rPr>
        <w:t xml:space="preserve">validated, because the unsafe behavior it exists to suppress does not occur.</w:t>
      </w:r>
      <w:r>
        <w:t xml:space="preserve"> </w:t>
      </w:r>
      <w:r>
        <w:t xml:space="preserve">Demonstrating that</w:t>
      </w:r>
      <w:r>
        <w:t xml:space="preserve"> </w:t>
      </w:r>
      <w:r>
        <w:t xml:space="preserve">a cost asymmetry works requires either a corpus in which hazardous and benign states overlap, or</w:t>
      </w:r>
      <w:r>
        <w:t xml:space="preserve"> </w:t>
      </w:r>
      <w:r>
        <w:t xml:space="preserve">a metric under which sub-alarm responses carry cost. Section 4.6 supplies the second, and under</w:t>
      </w:r>
      <w:r>
        <w:t xml:space="preserve"> </w:t>
      </w:r>
      <w:r>
        <w:t xml:space="preserve">it the cost-weighted policy does not lead.</w:t>
      </w:r>
    </w:p>
    <w:bookmarkEnd w:id="40"/>
    <w:bookmarkStart w:id="41" w:name="deployment-on-low-cost-edge-hardware"/>
    <w:p>
      <w:pPr>
        <w:pStyle w:val="Heading3"/>
      </w:pPr>
      <w:r>
        <w:t xml:space="preserve">5.4 Deployment on low-cost edge hardware</w:t>
      </w:r>
    </w:p>
    <w:p>
      <w:pPr>
        <w:pStyle w:val="FirstParagraph"/>
      </w:pPr>
      <w:r>
        <w:t xml:space="preserve">Three deployment findings hold across configurations.</w:t>
      </w:r>
    </w:p>
    <w:p>
      <w:pPr>
        <w:pStyle w:val="BodyText"/>
      </w:pPr>
      <w:r>
        <w:rPr>
          <w:bCs/>
          <w:b/>
        </w:rPr>
        <w:t xml:space="preserve">Explanation must be decoupled from the decision path.</w:t>
      </w:r>
      <w:r>
        <w:t xml:space="preserve"> </w:t>
      </w:r>
      <w:r>
        <w:t xml:space="preserve">Synchronous local language-model</w:t>
      </w:r>
      <w:r>
        <w:t xml:space="preserve"> </w:t>
      </w:r>
      <w:r>
        <w:t xml:space="preserve">explanation produces a mean end-to-end latency of 14,738 ms against a 2,000 ms sampling budget —</w:t>
      </w:r>
      <w:r>
        <w:t xml:space="preserve"> </w:t>
      </w:r>
      <w:r>
        <w:t xml:space="preserve">a factor of seven over budget, on hardware that is otherwise entirely adequate. Moving</w:t>
      </w:r>
      <w:r>
        <w:t xml:space="preserve"> </w:t>
      </w:r>
      <w:r>
        <w:t xml:space="preserve">explanation off the critical path and quantizing to INT8 reduces the deployable path to 235 ms</w:t>
      </w:r>
      <w:r>
        <w:t xml:space="preserve"> </w:t>
      </w:r>
      <w:r>
        <w:t xml:space="preserve">(P99 413 ms). The architectural conclusion generalizes beyond this system: in a monitoring</w:t>
      </w:r>
      <w:r>
        <w:t xml:space="preserve"> </w:t>
      </w:r>
      <w:r>
        <w:t xml:space="preserve">context, a language model’s role is to explain a decision already taken, never to participate in</w:t>
      </w:r>
      <w:r>
        <w:t xml:space="preserve"> </w:t>
      </w:r>
      <w:r>
        <w:t xml:space="preserve">taking it, and the latency arithmetic enforces what the safety argument already requires.</w:t>
      </w:r>
    </w:p>
    <w:p>
      <w:pPr>
        <w:pStyle w:val="BodyText"/>
      </w:pPr>
      <w:r>
        <w:rPr>
          <w:bCs/>
          <w:b/>
        </w:rPr>
        <w:t xml:space="preserve">Quantization has a measurable safety cost.</w:t>
      </w:r>
      <w:r>
        <w:t xml:space="preserve"> </w:t>
      </w:r>
      <w:r>
        <w:t xml:space="preserve">INT8 halves the footprint (8.74 → 4.19 MB) and</w:t>
      </w:r>
      <w:r>
        <w:t xml:space="preserve"> </w:t>
      </w:r>
      <w:r>
        <w:t xml:space="preserve">introduces one high-severity false alarm across 316 clean windows (0.0032; 95% CP upper bound</w:t>
      </w:r>
      <w:r>
        <w:t xml:space="preserve"> </w:t>
      </w:r>
      <w:r>
        <w:t xml:space="preserve">1.49%). Whether that is acceptable is a facility decision, not a modeling one. Where it is not,</w:t>
      </w:r>
      <w:r>
        <w:t xml:space="preserve"> </w:t>
      </w:r>
      <w:r>
        <w:t xml:space="preserve">the decision network can remain in floating point while the larger perception model is</w:t>
      </w:r>
      <w:r>
        <w:t xml:space="preserve"> </w:t>
      </w:r>
      <w:r>
        <w:t xml:space="preserve">quantized — the decision network is not the source of the footprint.</w:t>
      </w:r>
    </w:p>
    <w:p>
      <w:pPr>
        <w:pStyle w:val="BodyText"/>
      </w:pPr>
      <w:r>
        <w:rPr>
          <w:bCs/>
          <w:b/>
        </w:rPr>
        <w:t xml:space="preserve">Sustained thermal behavior narrows the margin.</w:t>
      </w:r>
      <w:r>
        <w:t xml:space="preserve"> </w:t>
      </w:r>
      <w:r>
        <w:t xml:space="preserve">Over a 36-minute passively cooled run the</w:t>
      </w:r>
      <w:r>
        <w:t xml:space="preserve"> </w:t>
      </w:r>
      <w:r>
        <w:t xml:space="preserve">processor reaches its 80°C throttle point after approximately 24 minutes, reducing clock from</w:t>
      </w:r>
      <w:r>
        <w:t xml:space="preserve"> </w:t>
      </w:r>
      <w:r>
        <w:t xml:space="preserve">1,500 to 1,234 MHz and raising median latency from 420 to 640 ms. The decision path remains</w:t>
      </w:r>
      <w:r>
        <w:t xml:space="preserve"> </w:t>
      </w:r>
      <w:r>
        <w:t xml:space="preserve">inside budget, but the margin is halved by an effect that a short benchmark would not reveal.</w:t>
      </w:r>
      <w:r>
        <w:t xml:space="preserve"> </w:t>
      </w:r>
      <w:r>
        <w:t xml:space="preserve">Deployment qualification for this class of hardware should include a sustained thermal run.</w:t>
      </w:r>
    </w:p>
    <w:bookmarkEnd w:id="41"/>
    <w:bookmarkStart w:id="42" w:name="Xbec8aaeed39f2022d1462c45980f9951abe9beb"/>
    <w:p>
      <w:pPr>
        <w:pStyle w:val="Heading3"/>
      </w:pPr>
      <w:r>
        <w:t xml:space="preserve">5.5 Position relative to prior work on this corpus</w:t>
      </w:r>
    </w:p>
    <w:p>
      <w:pPr>
        <w:pStyle w:val="FirstParagraph"/>
      </w:pPr>
      <w:r>
        <w:t xml:space="preserve">Reported classification accuracies on MultimodalGasData span 93–99.7%, and the decision accuracy</w:t>
      </w:r>
      <w:r>
        <w:t xml:space="preserve"> </w:t>
      </w:r>
      <w:r>
        <w:t xml:space="preserve">reported here (94.44%) sits below most of them. We state this plainly because the comparison is</w:t>
      </w:r>
      <w:r>
        <w:t xml:space="preserve"> </w:t>
      </w:r>
      <w:r>
        <w:t xml:space="preserve">not like-for-like in either direction, and both directions matter.</w:t>
      </w:r>
    </w:p>
    <w:p>
      <w:pPr>
        <w:pStyle w:val="BodyText"/>
      </w:pPr>
      <w:r>
        <w:t xml:space="preserve">Against us: our evaluation is on a leakage-controlled block-wise holdout with an explicit</w:t>
      </w:r>
      <w:r>
        <w:t xml:space="preserve"> </w:t>
      </w:r>
      <w:r>
        <w:t xml:space="preserve">embargo, while the published comparisons are, to our knowledge, computed on shuffled splits over</w:t>
      </w:r>
      <w:r>
        <w:t xml:space="preserve"> </w:t>
      </w:r>
      <w:r>
        <w:t xml:space="preserve">overlapping windows drawn from a single recording session. Dennler et al. (2022) showed that this</w:t>
      </w:r>
      <w:r>
        <w:t xml:space="preserve"> </w:t>
      </w:r>
      <w:r>
        <w:t xml:space="preserve">protocol conflates recording time with class label on a comparably structured MOX corpus and</w:t>
      </w:r>
      <w:r>
        <w:t xml:space="preserve"> </w:t>
      </w:r>
      <w:r>
        <w:t xml:space="preserve">flagged a substantial body of published work for re-evaluation [CITATION NEEDED]. The</w:t>
      </w:r>
      <w:r>
        <w:t xml:space="preserve"> </w:t>
      </w:r>
      <w:r>
        <w:t xml:space="preserve">accuracies are therefore not directly comparable, and the direction of the bias is known.</w:t>
      </w:r>
    </w:p>
    <w:p>
      <w:pPr>
        <w:pStyle w:val="BodyText"/>
      </w:pPr>
      <w:r>
        <w:t xml:space="preserve">In our favor: our numbers measure a different quantity. A classification error and an action</w:t>
      </w:r>
      <w:r>
        <w:t xml:space="preserve"> </w:t>
      </w:r>
      <w:r>
        <w:t xml:space="preserve">error carry different operational consequence — confusing two hazardous classes preserves the</w:t>
      </w:r>
      <w:r>
        <w:t xml:space="preserve"> </w:t>
      </w:r>
      <w:r>
        <w:t xml:space="preserve">need to escalate, whereas assigning a hazardous window to</w:t>
      </w:r>
      <w:r>
        <w:t xml:space="preserve"> </w:t>
      </w:r>
      <w:r>
        <w:rPr>
          <w:iCs/>
          <w:i/>
        </w:rPr>
        <w:t xml:space="preserve">Monitor</w:t>
      </w:r>
      <w:r>
        <w:t xml:space="preserve"> </w:t>
      </w:r>
      <w:r>
        <w:t xml:space="preserve">forfeits the intervention</w:t>
      </w:r>
      <w:r>
        <w:t xml:space="preserve"> </w:t>
      </w:r>
      <w:r>
        <w:t xml:space="preserve">window. For a like-for-like recognition comparison the relevant figure is the thermal</w:t>
      </w:r>
      <w:r>
        <w:t xml:space="preserve"> </w:t>
      </w:r>
      <w:r>
        <w:t xml:space="preserve">classifier’s accuracy, subject to the split caveat in Section 3.3.</w:t>
      </w:r>
    </w:p>
    <w:p>
      <w:pPr>
        <w:pStyle w:val="BodyText"/>
      </w:pPr>
      <w:r>
        <w:t xml:space="preserve">We do not claim to advance the accuracy state of the art on this corpus, and we do not think that</w:t>
      </w:r>
      <w:r>
        <w:t xml:space="preserve"> </w:t>
      </w:r>
      <w:r>
        <w:t xml:space="preserve">would be a useful thing to advance. The benchmark is saturated; the open question is what the</w:t>
      </w:r>
      <w:r>
        <w:t xml:space="preserve"> </w:t>
      </w:r>
      <w:r>
        <w:t xml:space="preserve">saturated numbers fail to measure.</w:t>
      </w:r>
    </w:p>
    <w:bookmarkEnd w:id="42"/>
    <w:bookmarkStart w:id="43" w:name="limitations-and-threats-to-validity"/>
    <w:p>
      <w:pPr>
        <w:pStyle w:val="Heading3"/>
      </w:pPr>
      <w:r>
        <w:t xml:space="preserve">5.6 Limitations and threats to validity</w:t>
      </w:r>
    </w:p>
    <w:p>
      <w:pPr>
        <w:pStyle w:val="FirstParagraph"/>
      </w:pPr>
      <w:r>
        <w:rPr>
          <w:bCs/>
          <w:b/>
        </w:rPr>
        <w:t xml:space="preserve">Analyte validity.</w:t>
      </w:r>
      <w:r>
        <w:t xml:space="preserve"> </w:t>
      </w:r>
      <w:r>
        <w:t xml:space="preserve">The corpus contains incense smoke, alcohol-based vapor, and their mixture.</w:t>
      </w:r>
      <w:r>
        <w:t xml:space="preserve"> </w:t>
      </w:r>
      <w:r>
        <w:t xml:space="preserve">These are surrogates. No result here establishes detection performance for methane or heavier</w:t>
      </w:r>
      <w:r>
        <w:t xml:space="preserve"> </w:t>
      </w:r>
      <w:r>
        <w:t xml:space="preserve">hydrocarbons, and external validity to petroleum facility monitoring is argued from the shared</w:t>
      </w:r>
      <w:r>
        <w:t xml:space="preserve"> </w:t>
      </w:r>
      <w:r>
        <w:t xml:space="preserve">MOX transduction mechanism rather than demonstrated. Work crossing from laboratory MOX corpora</w:t>
      </w:r>
      <w:r>
        <w:t xml:space="preserve"> </w:t>
      </w:r>
      <w:r>
        <w:t xml:space="preserve">to controlled-release field data has reported accuracy falling by several points [CITATION</w:t>
      </w:r>
      <w:r>
        <w:t xml:space="preserve"> </w:t>
      </w:r>
      <w:r>
        <w:t xml:space="preserve">NEEDED]; we expect at least that.</w:t>
      </w:r>
    </w:p>
    <w:p>
      <w:pPr>
        <w:pStyle w:val="BodyText"/>
      </w:pPr>
      <w:r>
        <w:rPr>
          <w:bCs/>
          <w:b/>
        </w:rPr>
        <w:t xml:space="preserve">Single-session provenance.</w:t>
      </w:r>
      <w:r>
        <w:t xml:space="preserve"> </w:t>
      </w:r>
      <w:r>
        <w:t xml:space="preserve">All 6,400 samples come from one acquisition session on one device.</w:t>
      </w:r>
      <w:r>
        <w:t xml:space="preserve"> </w:t>
      </w:r>
      <w:r>
        <w:t xml:space="preserve">Sensor ageing, inter-device variability, seasonal ambient variation, wind, and long-term drift</w:t>
      </w:r>
      <w:r>
        <w:t xml:space="preserve"> </w:t>
      </w:r>
      <w:r>
        <w:t xml:space="preserve">are unrepresented. Cross-session and cross-device validation is the single most important</w:t>
      </w:r>
      <w:r>
        <w:t xml:space="preserve"> </w:t>
      </w:r>
      <w:r>
        <w:t xml:space="preserve">outstanding experiment.</w:t>
      </w:r>
    </w:p>
    <w:p>
      <w:pPr>
        <w:pStyle w:val="BodyText"/>
      </w:pPr>
      <w:r>
        <w:rPr>
          <w:bCs/>
          <w:b/>
        </w:rPr>
        <w:t xml:space="preserve">Fixed partition.</w:t>
      </w:r>
      <w:r>
        <w:t xml:space="preserve"> </w:t>
      </w:r>
      <w:r>
        <w:t xml:space="preserve">The block-wise split is generated once. Reported standard deviations capture</w:t>
      </w:r>
      <w:r>
        <w:t xml:space="preserve"> </w:t>
      </w:r>
      <w:r>
        <w:t xml:space="preserve">initialization variance only and exclude partition variance.</w:t>
      </w:r>
    </w:p>
    <w:p>
      <w:pPr>
        <w:pStyle w:val="BodyText"/>
      </w:pPr>
      <w:r>
        <w:rPr>
          <w:bCs/>
          <w:b/>
        </w:rPr>
        <w:t xml:space="preserve">Statistical power.</w:t>
      </w:r>
      <w:r>
        <w:t xml:space="preserve"> </w:t>
      </w:r>
      <w:r>
        <w:t xml:space="preserve">Five paired seeds cannot resolve differences at α = 0.05 under a Wilcoxon</w:t>
      </w:r>
      <w:r>
        <w:t xml:space="preserve"> </w:t>
      </w:r>
      <w:r>
        <w:t xml:space="preserve">signed-rank test. No ranking among the eight models is asserted, and none should be inferred.</w:t>
      </w:r>
    </w:p>
    <w:p>
      <w:pPr>
        <w:pStyle w:val="BodyText"/>
      </w:pPr>
      <w:r>
        <w:rPr>
          <w:bCs/>
          <w:b/>
        </w:rPr>
        <w:t xml:space="preserve">Metric scope.</w:t>
      </w:r>
      <w:r>
        <w:t xml:space="preserve"> </w:t>
      </w:r>
      <w:r>
        <w:t xml:space="preserve">Danger-miss counts only the fully passive action. Section 4.6 shows that this</w:t>
      </w:r>
      <w:r>
        <w:t xml:space="preserve"> </w:t>
      </w:r>
      <w:r>
        <w:t xml:space="preserve">understates under-response, and we report escalation adequacy alongside it for that reason; a</w:t>
      </w:r>
      <w:r>
        <w:t xml:space="preserve"> </w:t>
      </w:r>
      <w:r>
        <w:t xml:space="preserve">graded expected-cost formulation would be preferable and is not attempted here.</w:t>
      </w:r>
    </w:p>
    <w:p>
      <w:pPr>
        <w:pStyle w:val="BodyText"/>
      </w:pPr>
      <w:r>
        <w:rPr>
          <w:bCs/>
          <w:b/>
        </w:rPr>
        <w:t xml:space="preserve">Modality scope.</w:t>
      </w:r>
      <w:r>
        <w:t xml:space="preserve"> </w:t>
      </w:r>
      <w:r>
        <w:t xml:space="preserve">The action policy consumes sensor dynamics and the anomaly score only. Visual</w:t>
      </w:r>
      <w:r>
        <w:t xml:space="preserve"> </w:t>
      </w:r>
      <w:r>
        <w:t xml:space="preserve">evidence informs the perception and explanation paths but not the action. Figure 2 should be read</w:t>
      </w:r>
      <w:r>
        <w:t xml:space="preserve"> </w:t>
      </w:r>
      <w:r>
        <w:t xml:space="preserve">accordingly.</w:t>
      </w:r>
    </w:p>
    <w:p>
      <w:pPr>
        <w:pStyle w:val="BodyText"/>
      </w:pPr>
      <w:r>
        <w:rPr>
          <w:bCs/>
          <w:b/>
        </w:rPr>
        <w:t xml:space="preserve">Evaluation of the coordination layer.</w:t>
      </w:r>
      <w:r>
        <w:t xml:space="preserve"> </w:t>
      </w:r>
      <w:r>
        <w:t xml:space="preserve">The components that coordinate, critique, and supervise</w:t>
      </w:r>
      <w:r>
        <w:t xml:space="preserve"> </w:t>
      </w:r>
      <w:r>
        <w:t xml:space="preserve">the pipeline are described as apparatus and are not experimentally isolated. No claim in this</w:t>
      </w:r>
      <w:r>
        <w:t xml:space="preserve"> </w:t>
      </w:r>
      <w:r>
        <w:t xml:space="preserve">paper depends on them, and none should be read as validating them.</w:t>
      </w:r>
    </w:p>
    <w:p>
      <w:pPr>
        <w:pStyle w:val="BodyText"/>
      </w:pPr>
      <w:r>
        <w:rPr>
          <w:bCs/>
          <w:b/>
        </w:rPr>
        <w:t xml:space="preserve">Configuration selection.</w:t>
      </w:r>
      <w:r>
        <w:t xml:space="preserve"> </w:t>
      </w:r>
      <w:r>
        <w:t xml:space="preserve">The deployed cost ratio (8:1) was chosen on test-partition variance</w:t>
      </w:r>
      <w:r>
        <w:t xml:space="preserve"> </w:t>
      </w:r>
      <w:r>
        <w:t xml:space="preserve">rather than on a held-out validation split.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onclusions"/>
    <w:p>
      <w:pPr>
        <w:pStyle w:val="Heading2"/>
      </w:pPr>
      <w:r>
        <w:t xml:space="preserve">6. Conclusions</w:t>
      </w:r>
    </w:p>
    <w:p>
      <w:pPr>
        <w:pStyle w:val="BlockText"/>
      </w:pPr>
      <w:r>
        <w:rPr>
          <w:bCs/>
          <w:b/>
        </w:rPr>
        <w:t xml:space="preserve">〔EDITOR’S NOTE〕</w:t>
      </w:r>
      <w:r>
        <w:t xml:space="preserve"> </w:t>
      </w:r>
      <w:r>
        <w:t xml:space="preserve">The submitted Conclusions repeat the Abstract, including both unsupported</w:t>
      </w:r>
      <w:r>
        <w:t xml:space="preserve"> </w:t>
      </w:r>
      <w:r>
        <w:t xml:space="preserve">claims. Conclusions should state what is now known at the level of the field. This version</w:t>
      </w:r>
      <w:r>
        <w:t xml:space="preserve"> </w:t>
      </w:r>
      <w:r>
        <w:t xml:space="preserve">asserts nothing the evidence does not carry.</w:t>
      </w:r>
    </w:p>
    <w:p>
      <w:pPr>
        <w:pStyle w:val="FirstParagraph"/>
      </w:pPr>
      <w:r>
        <w:t xml:space="preserve">We evaluated an edge-deployable gas-monitoring pipeline under a safety-relevant metric set rather</w:t>
      </w:r>
      <w:r>
        <w:t xml:space="preserve"> </w:t>
      </w:r>
      <w:r>
        <w:t xml:space="preserve">than accuracy alone, using a leakage-controlled block-wise holdout on a public MOX benchmark</w:t>
      </w:r>
      <w:r>
        <w:t xml:space="preserve"> </w:t>
      </w:r>
      <w:r>
        <w:t xml:space="preserve">whose analytes are laboratory surrogates.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Accuracy ranking carries no information about safety behavior.</w:t>
      </w:r>
      <w:r>
        <w:t xml:space="preserve"> </w:t>
      </w:r>
      <w:r>
        <w:t xml:space="preserve">Eight model families span</w:t>
      </w:r>
      <w:r>
        <w:t xml:space="preserve"> </w:t>
      </w:r>
      <w:r>
        <w:t xml:space="preserve">3.3 accuracy points on the block-wise holdout — a range the design cannot resolve — yet</w:t>
      </w:r>
      <w:r>
        <w:t xml:space="preserve"> </w:t>
      </w:r>
      <w:r>
        <w:t xml:space="preserve">separate by two orders of magnitude in missed-hazard rate on an unseen hazardous class</w:t>
      </w:r>
      <w:r>
        <w:t xml:space="preserve"> </w:t>
      </w:r>
      <w:r>
        <w:t xml:space="preserve">(18.7%, 95% CP bound ≤20.41%, versus ≤0.19%). Model selection on benchmark accuracy is therefore</w:t>
      </w:r>
      <w:r>
        <w:t xml:space="preserve"> </w:t>
      </w:r>
      <w:r>
        <w:t xml:space="preserve">uninformative for this application.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Missed-hazard rate is necessary but not sufficient.</w:t>
      </w:r>
      <w:r>
        <w:t xml:space="preserve"> </w:t>
      </w:r>
      <w:r>
        <w:t xml:space="preserve">On a second unseen hazardous class,</w:t>
      </w:r>
      <w:r>
        <w:t xml:space="preserve"> </w:t>
      </w:r>
      <w:r>
        <w:t xml:space="preserve">models with miss rates below 0.83% at 95% confidence escalate between 24.9% and 100% of</w:t>
      </w:r>
      <w:r>
        <w:t xml:space="preserve"> </w:t>
      </w:r>
      <w:r>
        <w:t xml:space="preserve">hazardous windows to alarm-grade action. The shortfall is invisible to a miss metric that</w:t>
      </w:r>
      <w:r>
        <w:t xml:space="preserve"> </w:t>
      </w:r>
      <w:r>
        <w:t xml:space="preserve">counts only the fully passive response, and the model with the best miss rate is not the model</w:t>
      </w:r>
      <w:r>
        <w:t xml:space="preserve"> </w:t>
      </w:r>
      <w:r>
        <w:t xml:space="preserve">with the best escalation rate. Escalation adequacy must be reported alongside miss rate.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 cost-asymmetric objective produced no measurable safety benefit on this benchmark</w:t>
      </w:r>
      <w:r>
        <w:t xml:space="preserve">, at</w:t>
      </w:r>
      <w:r>
        <w:t xml:space="preserve"> </w:t>
      </w:r>
      <w:r>
        <w:t xml:space="preserve">any ratio from 1:1 to 20:1, and degraded accuracy above 6:1. Where hazardous and benign states</w:t>
      </w:r>
      <w:r>
        <w:t xml:space="preserve"> </w:t>
      </w:r>
      <w:r>
        <w:t xml:space="preserve">are well separated and the target action is a deterministic function of the class, there is no</w:t>
      </w:r>
      <w:r>
        <w:t xml:space="preserve"> </w:t>
      </w:r>
      <w:r>
        <w:t xml:space="preserve">error surface for a safety objective to reshape. Validating such an objective requires a</w:t>
      </w:r>
      <w:r>
        <w:t xml:space="preserve"> </w:t>
      </w:r>
      <w:r>
        <w:t xml:space="preserve">corpus with genuine overlap, or a metric under which under-escalation carries cost.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Full local operation is achievable within a 2 s sampling budget on commodity edge hardware</w:t>
      </w:r>
      <w:r>
        <w:t xml:space="preserve">,</w:t>
      </w:r>
      <w:r>
        <w:t xml:space="preserve"> </w:t>
      </w:r>
      <w:r>
        <w:t xml:space="preserve">provided that language-model explanation is decoupled from the decision path: 14,738 ms</w:t>
      </w:r>
      <w:r>
        <w:t xml:space="preserve"> </w:t>
      </w:r>
      <w:r>
        <w:t xml:space="preserve">synchronous falls to 235 ms asynchronous with INT8 quantization, at a cost of one</w:t>
      </w:r>
      <w:r>
        <w:t xml:space="preserve"> </w:t>
      </w:r>
      <w:r>
        <w:t xml:space="preserve">high-severity false alarm in 316 clean windows (≤1.49%), with a sustained-thermal margin that</w:t>
      </w:r>
      <w:r>
        <w:t xml:space="preserve"> </w:t>
      </w:r>
      <w:r>
        <w:t xml:space="preserve">halves after 24 minutes of passive-cooled operation.</w:t>
      </w:r>
    </w:p>
    <w:p>
      <w:pPr>
        <w:pStyle w:val="FirstParagraph"/>
      </w:pPr>
      <w:r>
        <w:t xml:space="preserve">Taken together, these results argue that missed-hazard behavior, escalation adequacy,</w:t>
      </w:r>
      <w:r>
        <w:t xml:space="preserve"> </w:t>
      </w:r>
      <w:r>
        <w:t xml:space="preserve">false-alarm burden, degradation under sensor loss and drift, and confidence bounds on all zero</w:t>
      </w:r>
      <w:r>
        <w:t xml:space="preserve"> </w:t>
      </w:r>
      <w:r>
        <w:t xml:space="preserve">counts should be reported as standard alongside accuracy in machine-learning studies of</w:t>
      </w:r>
      <w:r>
        <w:t xml:space="preserve"> </w:t>
      </w:r>
      <w:r>
        <w:t xml:space="preserve">gas-hazard monitoring. On the evidence here, a selection made on accuracy alone would have been</w:t>
      </w:r>
      <w:r>
        <w:t xml:space="preserve"> </w:t>
      </w:r>
      <w:r>
        <w:t xml:space="preserve">uninformative about every one of these behaviors.</w:t>
      </w:r>
    </w:p>
    <w:p>
      <w:pPr>
        <w:pStyle w:val="BodyText"/>
      </w:pPr>
      <w:r>
        <w:t xml:space="preserve">Priorities for further work are, in order: cross-session and cross-device validation; evaluation</w:t>
      </w:r>
      <w:r>
        <w:t xml:space="preserve"> </w:t>
      </w:r>
      <w:r>
        <w:t xml:space="preserve">on a corpus containing a controlled hydrocarbon release; class-conditional conformal prediction</w:t>
      </w:r>
      <w:r>
        <w:t xml:space="preserve"> </w:t>
      </w:r>
      <w:r>
        <w:t xml:space="preserve">to convert observed zero-miss counts into distribution-free coverage guarantees on the hazardous</w:t>
      </w:r>
      <w:r>
        <w:t xml:space="preserve"> </w:t>
      </w:r>
      <w:r>
        <w:t xml:space="preserve">class; and comparison against classical sequential change detection, which addresses the same</w:t>
      </w:r>
      <w:r>
        <w:t xml:space="preserve"> </w:t>
      </w:r>
      <w:r>
        <w:t xml:space="preserve">escalation problem with provable run-length guarantees and is the natural incumbent for this</w:t>
      </w:r>
      <w:r>
        <w:t xml:space="preserve"> </w:t>
      </w:r>
      <w:r>
        <w:t xml:space="preserve">application.</w:t>
      </w:r>
    </w:p>
    <w:p>
      <w:r>
        <w:pict>
          <v:rect style="width:0;height:1.5pt" o:hralign="center" o:hrstd="t" o:hr="t"/>
        </w:pict>
      </w:r>
    </w:p>
    <w:bookmarkEnd w:id="45"/>
    <w:bookmarkStart w:id="46" w:name="nomenclature"/>
    <w:p>
      <w:pPr>
        <w:pStyle w:val="Heading2"/>
      </w:pPr>
      <w:r>
        <w:t xml:space="preserve">7. Nomenclature</w:t>
      </w:r>
    </w:p>
    <w:p>
      <w:pPr>
        <w:pStyle w:val="BlockText"/>
      </w:pPr>
      <w:r>
        <w:rPr>
          <w:bCs/>
          <w:b/>
        </w:rPr>
        <w:t xml:space="preserve">〔EDITOR’S NOTE〕</w:t>
      </w:r>
      <w:r>
        <w:t xml:space="preserve"> </w:t>
      </w:r>
      <w:r>
        <w:t xml:space="preserve">SPE expects a Nomenclature section. The manuscript has none. Draft below;</w:t>
      </w:r>
      <w:r>
        <w:t xml:space="preserve"> </w:t>
      </w:r>
      <w:r>
        <w:t xml:space="preserve">complete once Eq. 1’s notation is finalized.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action, a ∈ {0, 1, 2, 3, 4}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a*(·)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acceptable target-action map from gas class to action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ratio, C = c_miss / c_false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c_miss, c_false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weights for hazardous and non-hazardous training samples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operator-facing natural-language explanation at cycle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embargo length between training and test partitions, in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ground-truth gas class for window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thermal image at cycle 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L(θ)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cost-weighted cross-entropy objective, Eq.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training samples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p_θ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probability distribution under model parameters 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seven-channel sensor window at cycle t, X_t ∈ ℝ^(20×7)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X’_t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sensor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per-sensor change across the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ρ̃_t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normalized reconstruction-error anomaly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per-sensor standard deviation across the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anomaly detection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φ_t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22-dimensional decision state, φ_t ∈ ℝ²²</w:t>
            </w:r>
          </w:p>
        </w:tc>
      </w:tr>
    </w:tbl>
    <w:p>
      <w:pPr>
        <w:pStyle w:val="BodyText"/>
      </w:pPr>
      <w:r>
        <w:rPr>
          <w:bCs/>
          <w:b/>
        </w:rPr>
        <w:t xml:space="preserve">Subscripts:</w:t>
      </w:r>
      <w:r>
        <w:t xml:space="preserve"> </w:t>
      </w:r>
      <w:r>
        <w:t xml:space="preserve">t — inference cycle or window index.</w:t>
      </w:r>
      <w:r>
        <w:t xml:space="preserve"> </w:t>
      </w:r>
      <w:r>
        <w:rPr>
          <w:bCs/>
          <w:b/>
        </w:rPr>
        <w:t xml:space="preserve">Abbreviations to define at first use:</w:t>
      </w:r>
      <w:r>
        <w:t xml:space="preserve"> </w:t>
      </w:r>
      <w:r>
        <w:t xml:space="preserve">CP (Clopper–Pearson); ECE (expected calibration error); ESD (emergency shutdown); LOCO</w:t>
      </w:r>
      <w:r>
        <w:t xml:space="preserve"> </w:t>
      </w:r>
      <w:r>
        <w:t xml:space="preserve">(leave-one-class-out); MOX (metal-oxide semiconductor); ROC-AUC (area under the receiver</w:t>
      </w:r>
      <w:r>
        <w:t xml:space="preserve"> </w:t>
      </w:r>
      <w:r>
        <w:t xml:space="preserve">operating characteristic curve); SIS (safety instrumented system); VOC (volatile organic</w:t>
      </w:r>
      <w:r>
        <w:t xml:space="preserve"> </w:t>
      </w:r>
      <w:r>
        <w:t xml:space="preserve">compound).</w:t>
      </w:r>
    </w:p>
    <w:p>
      <w:r>
        <w:pict>
          <v:rect style="width:0;height:1.5pt" o:hralign="center" o:hrstd="t" o:hr="t"/>
        </w:pict>
      </w:r>
    </w:p>
    <w:bookmarkEnd w:id="46"/>
    <w:bookmarkStart w:id="47" w:name="references-conversion-notes"/>
    <w:p>
      <w:pPr>
        <w:pStyle w:val="Heading2"/>
      </w:pPr>
      <w:r>
        <w:t xml:space="preserve">8. References — conversion notes</w:t>
      </w:r>
    </w:p>
    <w:p>
      <w:pPr>
        <w:pStyle w:val="FirstParagraph"/>
      </w:pPr>
      <w:r>
        <w:t xml:space="preserve">SPE requires</w:t>
      </w:r>
      <w:r>
        <w:t xml:space="preserve"> </w:t>
      </w:r>
      <w:r>
        <w:rPr>
          <w:bCs/>
          <w:b/>
        </w:rPr>
        <w:t xml:space="preserve">author-date</w:t>
      </w:r>
      <w:r>
        <w:t xml:space="preserve"> </w:t>
      </w:r>
      <w:r>
        <w:t xml:space="preserve">in-text citation and an</w:t>
      </w:r>
      <w:r>
        <w:t xml:space="preserve"> </w:t>
      </w:r>
      <w:r>
        <w:rPr>
          <w:bCs/>
          <w:b/>
        </w:rPr>
        <w:t xml:space="preserve">alphabetized</w:t>
      </w:r>
      <w:r>
        <w:t xml:space="preserve"> </w:t>
      </w:r>
      <w:r>
        <w:t xml:space="preserve">reference list with SPE</w:t>
      </w:r>
      <w:r>
        <w:t xml:space="preserve"> </w:t>
      </w:r>
      <w:r>
        <w:t xml:space="preserve">paper numbers and DOI hyperlinks. Convert all 26 entries. Specific corrections: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[6] Liang et 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in</w:t>
            </w:r>
            <w:r>
              <w:t xml:space="preserve"> </w:t>
            </w:r>
            <w:r>
              <w:rPr>
                <w:iCs/>
                <w:i/>
                <w:bCs/>
                <w:b/>
              </w:rPr>
              <w:t xml:space="preserve">SPE Production &amp; Operations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38 (3): 513</w:t>
            </w:r>
            <w:r>
              <w:t xml:space="preserve">, not SPE Journal. Add SPE paper number and DOI. [CITATION NEEDED — verify]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[8] Mnih et 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Mnih, V., et al.</w:t>
            </w:r>
            <w:r>
              <w:t xml:space="preserve"> </w:t>
            </w:r>
            <w:r>
              <w:t xml:space="preserve">is malformed under SPE style — list up to three authors, then</w:t>
            </w:r>
            <w:r>
              <w:t xml:space="preserve"> </w:t>
            </w:r>
            <w:r>
              <w:rPr>
                <w:rStyle w:val="VerbatimChar"/>
              </w:rPr>
              <w:t xml:space="preserve">et al.</w:t>
            </w:r>
            <w:r>
              <w:t xml:space="preserve"> </w:t>
            </w:r>
            <w:r>
              <w:t xml:space="preserve">Same for [13], [21], [25].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[14] Gemma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Cited as 2024 but used for</w:t>
            </w:r>
            <w:r>
              <w:t xml:space="preserve"> </w:t>
            </w:r>
            <w:r>
              <w:rPr>
                <w:bCs/>
                <w:b/>
              </w:rPr>
              <w:t xml:space="preserve">Gemma 3 1B</w:t>
            </w:r>
            <w:r>
              <w:t xml:space="preserve">, a later release. Cite the correct technical report and year. [CITATION NEEDED]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[18] YOLOv7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Cited to support a YOLO-family claim while the system uses YOLOv8 [22]. Cite [22] directly or make the family claim explicitly historical.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[19]/[20] Narkhede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Cite the 2022</w:t>
            </w:r>
            <w:r>
              <w:t xml:space="preserve"> </w:t>
            </w:r>
            <w:r>
              <w:rPr>
                <w:iCs/>
                <w:i/>
              </w:rPr>
              <w:t xml:space="preserve">Data</w:t>
            </w:r>
            <w:r>
              <w:t xml:space="preserve"> </w:t>
            </w:r>
            <w:r>
              <w:t xml:space="preserve">descriptor as the dataset of record, with its Mendeley DOI, and acknowledge the CC BY 4.0 licence.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[26] Zhang and Zhang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Described as a</w:t>
            </w:r>
            <w:r>
              <w:t xml:space="preserve"> </w:t>
            </w:r>
            <w:r>
              <w:t xml:space="preserve">“</w:t>
            </w:r>
            <w:r>
              <w:t xml:space="preserve">Transformer classifier</w:t>
            </w:r>
            <w:r>
              <w:t xml:space="preserve">”</w:t>
            </w:r>
            <w:r>
              <w:t xml:space="preserve"> </w:t>
            </w:r>
            <w:r>
              <w:t xml:space="preserve">in Table 12; the reference title says</w:t>
            </w:r>
            <w:r>
              <w:t xml:space="preserve"> </w:t>
            </w:r>
            <w:r>
              <w:t xml:space="preserve">“</w:t>
            </w:r>
            <w:r>
              <w:t xml:space="preserve">optimized deep forest classifier.</w:t>
            </w:r>
            <w:r>
              <w:t xml:space="preserve">”</w:t>
            </w:r>
            <w:r>
              <w:t xml:space="preserve"> </w:t>
            </w:r>
            <w:r>
              <w:t xml:space="preserve">Fix the method description.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Add:</w:t>
            </w:r>
            <w:r>
              <w:t xml:space="preserve"> </w:t>
            </w:r>
            <w:r>
              <w:t xml:space="preserve">Dennler et al. (2022) on MOX benchmark drift; Elkan (2001) on cost-sensitive learning; Bouthillier et al. (2021) and Benavoli et al. (2017) on ML comparison methodology; Clopper and Pearson (1934); EEMUA 191; ISA-18.2; IEC 61511. [CITATION NEEDED for all]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figure-budget"/>
    <w:p>
      <w:pPr>
        <w:pStyle w:val="Heading2"/>
      </w:pPr>
      <w:r>
        <w:t xml:space="preserve">9. Figure budget</w:t>
      </w:r>
    </w:p>
    <w:p>
      <w:pPr>
        <w:pStyle w:val="FirstParagraph"/>
      </w:pPr>
      <w:r>
        <w:t xml:space="preserve">Eleven figures are currently allocated, six of them (Figs. 3, 4, 5, 6, 8, 9) to two component</w:t>
      </w:r>
      <w:r>
        <w:t xml:space="preserve"> </w:t>
      </w:r>
      <w:r>
        <w:t xml:space="preserve">models, while the paper’s principal experiment has none. Suggested reallocation: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Fig. 7 (training dynamics of a run that produced no reported result)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Figs. 3 + 4 → one perception panel; Figs. 5 + 6 → one anomaly panel; Figs. 8 + 9 → one policy-behavior 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LOCO miss rate</w:t>
            </w:r>
            <w:r>
              <w:t xml:space="preserve"> </w:t>
            </w:r>
            <w:r>
              <w:rPr>
                <w:iCs/>
                <w:i/>
              </w:rPr>
              <w:t xml:space="preserve">and</w:t>
            </w:r>
            <w:r>
              <w:t xml:space="preserve"> </w:t>
            </w:r>
            <w:r>
              <w:t xml:space="preserve">escalation rate by held-out class and model — the paper’s headline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Cost-ratio sweep: accuracy and miss rate vs. C, with the flat miss line made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Perturbation breakdown curves: miss rate, escalation, and false alarm vs. severity, all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Figs. 1, 2 (redraw 2 so the vision branch’s advisory-only path is explicit), 10, 11</w:t>
            </w:r>
          </w:p>
        </w:tc>
      </w:tr>
    </w:tbl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2026-09-09T06:37:09Z</dcterms:created>
  <dcterms:modified xsi:type="dcterms:W3CDTF">2026-09-09T06:37:09Z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