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897a3cf196db3432b159d92756f8d300d018f2b"/>
    <w:p>
      <w:pPr>
        <w:pStyle w:val="Heading1"/>
      </w:pPr>
      <w:r>
        <w:t xml:space="preserve">v15: the pre-submission review, worked through</w:t>
      </w:r>
    </w:p>
    <w:p>
      <w:pPr>
        <w:pStyle w:val="FirstParagraph"/>
      </w:pPr>
      <w:r>
        <w:t xml:space="preserve">The reviewer’s blocker was real, and worse than stated. Everything else on the</w:t>
      </w:r>
      <w:r>
        <w:t xml:space="preserve"> </w:t>
      </w:r>
      <w:r>
        <w:t xml:space="preserve">list is done except four facts only you hold, which now fail the suite loudly</w:t>
      </w:r>
      <w:r>
        <w:t xml:space="preserve"> </w:t>
      </w:r>
      <w:r>
        <w:t xml:space="preserve">instead of sitting in the paper as promises.</w:t>
      </w:r>
    </w:p>
    <w:p>
      <w:r>
        <w:pict>
          <v:rect style="width:0;height:1.5pt" o:hralign="center" o:hrstd="t" o:hr="t"/>
        </w:pict>
      </w:r>
    </w:p>
    <w:bookmarkStart w:id="20" w:name="X367be36fbc32bf51d4b162460b904763136a5c0"/>
    <w:p>
      <w:pPr>
        <w:pStyle w:val="Heading2"/>
      </w:pPr>
      <w:r>
        <w:t xml:space="preserve">1. The Figure 7 mismatch — two defects, not one</w:t>
      </w:r>
    </w:p>
    <w:p>
      <w:pPr>
        <w:pStyle w:val="FirstParagraph"/>
      </w:pPr>
      <w:r>
        <w:rPr>
          <w:bCs/>
          <w:b/>
        </w:rPr>
        <w:t xml:space="preserve">The panel plotted a different fit from the paragraph beside it.</w:t>
      </w:r>
      <w:r>
        <w:t xml:space="preserve"> </w:t>
      </w:r>
      <w:r>
        <w:t xml:space="preserve">The result</w:t>
      </w:r>
      <w:r>
        <w:t xml:space="preserve"> </w:t>
      </w:r>
      <w:r>
        <w:t xml:space="preserve">file holds two per-class reconstruction summaries:</w:t>
      </w:r>
      <w:r>
        <w:t xml:space="preserve"> </w:t>
      </w:r>
      <w:r>
        <w:rPr>
          <w:rStyle w:val="VerbatimChar"/>
        </w:rPr>
        <w:t xml:space="preserve">per_class_mean_recon</w:t>
      </w:r>
      <w:r>
        <w:t xml:space="preserve">, the</w:t>
      </w:r>
      <w:r>
        <w:t xml:space="preserve"> </w:t>
      </w:r>
      <w:r>
        <w:t xml:space="preserve">whole-corpus fit, and</w:t>
      </w:r>
      <w:r>
        <w:t xml:space="preserve"> </w:t>
      </w:r>
      <w:r>
        <w:rPr>
          <w:rStyle w:val="VerbatimChar"/>
        </w:rPr>
        <w:t xml:space="preserve">per_class_mean_recon_partition</w:t>
      </w:r>
      <w:r>
        <w:t xml:space="preserve">, the partition-local fit</w:t>
      </w:r>
      <w:r>
        <w:t xml:space="preserve"> </w:t>
      </w:r>
      <w:r>
        <w:t xml:space="preserve">that every number in the paper uses. The prose quoted the partition-local values</w:t>
      </w:r>
      <w:r>
        <w:t xml:space="preserve"> </w:t>
      </w:r>
      <w:r>
        <w:t xml:space="preserve">(0.023, 0.107, 164.7, 80.6) and cited Fig. 7a; Fig. 7a plotted the whole-corpus</w:t>
      </w:r>
      <w:r>
        <w:t xml:space="preserve"> </w:t>
      </w:r>
      <w:r>
        <w:t xml:space="preserve">ones (0.74, 1.54, 117.72, 229.25). The figure was showing the leaky fit while</w:t>
      </w:r>
      <w:r>
        <w:t xml:space="preserve"> </w:t>
      </w:r>
      <w:r>
        <w:t xml:space="preserve">the text described the corrected one — on the very quantity the leakage argument</w:t>
      </w:r>
      <w:r>
        <w:t xml:space="preserve"> </w:t>
      </w:r>
      <w:r>
        <w:t xml:space="preserve">turns on.</w:t>
      </w:r>
    </w:p>
    <w:p>
      <w:pPr>
        <w:pStyle w:val="BodyText"/>
      </w:pPr>
      <w:r>
        <w:t xml:space="preserve">Fig. 7a now plots the partition-local fit with the across-seed standard</w:t>
      </w:r>
      <w:r>
        <w:t xml:space="preserve"> </w:t>
      </w:r>
      <w:r>
        <w:t xml:space="preserve">deviation, so the panel and the paragraph carry the same four numbers.</w:t>
      </w:r>
    </w:p>
    <w:p>
      <w:pPr>
        <w:pStyle w:val="BodyText"/>
      </w:pPr>
      <w:r>
        <w:rPr>
          <w:bCs/>
          <w:b/>
        </w:rPr>
        <w:t xml:space="preserve">The 0.9928 anomaly AUC is in no result file.</w:t>
      </w:r>
      <w:r>
        <w:t xml:space="preserve"> </w:t>
      </w:r>
      <w:r>
        <w:t xml:space="preserve">This is the part the reviewer</w:t>
      </w:r>
      <w:r>
        <w:t xml:space="preserve"> </w:t>
      </w:r>
      <w:r>
        <w:t xml:space="preserve">could not see from outside. Searching every stored result for that value turns</w:t>
      </w:r>
      <w:r>
        <w:t xml:space="preserve"> </w:t>
      </w:r>
      <w:r>
        <w:t xml:space="preserve">it up only in</w:t>
      </w:r>
      <w:r>
        <w:t xml:space="preserve"> </w:t>
      </w:r>
      <w:r>
        <w:rPr>
          <w:rStyle w:val="VerbatimChar"/>
        </w:rPr>
        <w:t xml:space="preserve">v3_leakage.csv</w:t>
      </w:r>
      <w:r>
        <w:t xml:space="preserve">, where it is a</w:t>
      </w:r>
      <w:r>
        <w:t xml:space="preserve"> </w:t>
      </w:r>
      <w:r>
        <w:rPr>
          <w:iCs/>
          <w:i/>
        </w:rPr>
        <w:t xml:space="preserve">decision accuracy</w:t>
      </w:r>
      <w:r>
        <w:t xml:space="preserve"> </w:t>
      </w:r>
      <w:r>
        <w:t xml:space="preserve">under the</w:t>
      </w:r>
      <w:r>
        <w:t xml:space="preserve"> </w:t>
      </w:r>
      <w:r>
        <w:t xml:space="preserve">random-split protocol. The sentence had conflated a decision accuracy with an</w:t>
      </w:r>
      <w:r>
        <w:t xml:space="preserve"> </w:t>
      </w:r>
      <w:r>
        <w:t xml:space="preserve">anomaly ROC-AUC, and it has been carried unchanged since v11.</w:t>
      </w:r>
    </w:p>
    <w:p>
      <w:pPr>
        <w:pStyle w:val="BodyText"/>
      </w:pPr>
      <w:r>
        <w:t xml:space="preserve">The stored whole-corpus anomaly fit is ROC-AUC</w:t>
      </w:r>
      <w:r>
        <w:t xml:space="preserve"> </w:t>
      </w:r>
      <w:r>
        <w:rPr>
          <w:bCs/>
          <w:b/>
        </w:rPr>
        <w:t xml:space="preserve">0.9622</w:t>
      </w:r>
      <w:r>
        <w:t xml:space="preserve"> </w:t>
      </w:r>
      <w:r>
        <w:t xml:space="preserve">at FPR</w:t>
      </w:r>
      <w:r>
        <w:t xml:space="preserve"> </w:t>
      </w:r>
      <w:r>
        <w:rPr>
          <w:bCs/>
          <w:b/>
        </w:rPr>
        <w:t xml:space="preserve">0.0500</w:t>
      </w:r>
      <w:r>
        <w:t xml:space="preserve">.</w:t>
      </w:r>
      <w:r>
        <w:t xml:space="preserve"> </w:t>
      </w:r>
      <w:r>
        <w:t xml:space="preserve">Against the partition-local 0.9251 ± 0.0618 that is</w:t>
      </w:r>
      <w:r>
        <w:t xml:space="preserve"> </w:t>
      </w:r>
      <w:r>
        <w:rPr>
          <w:bCs/>
          <w:b/>
        </w:rPr>
        <w:t xml:space="preserve">3.7 points</w:t>
      </w:r>
      <w:r>
        <w:t xml:space="preserve"> </w:t>
      </w:r>
      <w:r>
        <w:t xml:space="preserve">of</w:t>
      </w:r>
      <w:r>
        <w:t xml:space="preserve"> </w:t>
      </w:r>
      <w:r>
        <w:t xml:space="preserve">discrimination, not seven, and the false-positive rate</w:t>
      </w:r>
      <w:r>
        <w:t xml:space="preserve"> </w:t>
      </w:r>
      <w:r>
        <w:rPr>
          <w:bCs/>
          <w:b/>
        </w:rPr>
        <w:t xml:space="preserve">more than doubles</w:t>
      </w:r>
      <w:r>
        <w:t xml:space="preserve"> </w:t>
      </w:r>
      <w:r>
        <w:t xml:space="preserve">rather than rising from zero. The paragraph now says exactly that. The claim is</w:t>
      </w:r>
      <w:r>
        <w:t xml:space="preserve"> </w:t>
      </w:r>
      <w:r>
        <w:t xml:space="preserve">weaker than it was, and it is now the claim the data support.</w:t>
      </w:r>
    </w:p>
    <w:p>
      <w:pPr>
        <w:pStyle w:val="BodyText"/>
      </w:pPr>
      <w:r>
        <w:t xml:space="preserve">Panel (b)’s axis label read</w:t>
      </w:r>
      <w:r>
        <w:t xml:space="preserve"> </w:t>
      </w:r>
      <w:r>
        <w:t xml:space="preserve">“</w:t>
      </w:r>
      <w:r>
        <w:t xml:space="preserve">In-sample (as published)</w:t>
      </w:r>
      <w:r>
        <w:t xml:space="preserve">”</w:t>
      </w:r>
      <w:r>
        <w:t xml:space="preserve">, which implied the number</w:t>
      </w:r>
      <w:r>
        <w:t xml:space="preserve"> </w:t>
      </w:r>
      <w:r>
        <w:t xml:space="preserve">came from someone else’s publication. It is this study’s own earlier fit, and</w:t>
      </w:r>
      <w:r>
        <w:t xml:space="preserve"> </w:t>
      </w:r>
      <w:r>
        <w:t xml:space="preserve">the labels now say so:</w:t>
      </w:r>
      <w:r>
        <w:t xml:space="preserve"> </w:t>
      </w:r>
      <w:r>
        <w:t xml:space="preserve">“</w:t>
      </w:r>
      <w:r>
        <w:t xml:space="preserve">Whole-corpus fit (earlier implementation)</w:t>
      </w:r>
      <w:r>
        <w:t xml:space="preserve">”</w:t>
      </w:r>
      <w:r>
        <w:t xml:space="preserve"> </w:t>
      </w:r>
      <w:r>
        <w:t xml:space="preserve">against</w:t>
      </w:r>
      <w:r>
        <w:t xml:space="preserve"> </w:t>
      </w:r>
      <w:r>
        <w:t xml:space="preserve">“</w:t>
      </w:r>
      <w:r>
        <w:t xml:space="preserve">Partition-local fit (this work)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Seven gates were added</w:t>
      </w:r>
      <w:r>
        <w:t xml:space="preserve"> </w:t>
      </w:r>
      <w:r>
        <w:t xml:space="preserve">so none of this can drift again. They assert that the</w:t>
      </w:r>
      <w:r>
        <w:t xml:space="preserve"> </w:t>
      </w:r>
      <w:r>
        <w:t xml:space="preserve">prose contains the stored values in the form the result file holds them, that</w:t>
      </w:r>
      <w:r>
        <w:t xml:space="preserve"> </w:t>
      </w:r>
      <w:r>
        <w:t xml:space="preserve">“</w:t>
      </w:r>
      <w:r>
        <w:t xml:space="preserve">0.9928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no observed false positive</w:t>
      </w:r>
      <w:r>
        <w:t xml:space="preserve">”</w:t>
      </w:r>
      <w:r>
        <w:t xml:space="preserve"> </w:t>
      </w:r>
      <w:r>
        <w:t xml:space="preserve">are absent, that the described</w:t>
      </w:r>
      <w:r>
        <w:t xml:space="preserve"> </w:t>
      </w:r>
      <w:r>
        <w:t xml:space="preserve">direction of the false-positive change matches the file, and that Fig. 7a is</w:t>
      </w:r>
      <w:r>
        <w:t xml:space="preserve"> </w:t>
      </w:r>
      <w:r>
        <w:t xml:space="preserve">drawn from the partition-local key. Putting the old sentence back makes two of</w:t>
      </w:r>
      <w:r>
        <w:t xml:space="preserve"> </w:t>
      </w:r>
      <w:r>
        <w:t xml:space="preserve">them fail, which is how I know they work.</w:t>
      </w:r>
    </w:p>
    <w:bookmarkEnd w:id="20"/>
    <w:bookmarkStart w:id="21" w:name="the-five-quantity-terminology"/>
    <w:p>
      <w:pPr>
        <w:pStyle w:val="Heading2"/>
      </w:pPr>
      <w:r>
        <w:t xml:space="preserve">2. The five-quantity terminology</w:t>
      </w:r>
    </w:p>
    <w:p>
      <w:pPr>
        <w:pStyle w:val="FirstParagraph"/>
      </w:pPr>
      <w:r>
        <w:t xml:space="preserve">Three places named three different fives. The Summary said</w:t>
      </w:r>
      <w:r>
        <w:t xml:space="preserve"> </w:t>
      </w:r>
      <w:r>
        <w:t xml:space="preserve">“</w:t>
      </w:r>
      <w:r>
        <w:t xml:space="preserve">five-quantity safety</w:t>
      </w:r>
      <w:r>
        <w:t xml:space="preserve"> </w:t>
      </w:r>
      <w:r>
        <w:t xml:space="preserve">metric set</w:t>
      </w:r>
      <w:r>
        <w:t xml:space="preserve">”</w:t>
      </w:r>
      <w:r>
        <w:t xml:space="preserve"> </w:t>
      </w:r>
      <w:r>
        <w:t xml:space="preserve">while the body says decision accuracy is not a safety metric; Table 5</w:t>
      </w:r>
      <w:r>
        <w:t xml:space="preserve"> </w:t>
      </w:r>
      <w:r>
        <w:t xml:space="preserve">listed accuracy plus four safety-relevant rates; Fig. 1 listed four safety rates</w:t>
      </w:r>
      <w:r>
        <w:t xml:space="preserve"> </w:t>
      </w:r>
      <w:r>
        <w:t xml:space="preserve">plus alarm burden.</w:t>
      </w:r>
    </w:p>
    <w:p>
      <w:pPr>
        <w:pStyle w:val="BodyText"/>
      </w:pPr>
      <w:r>
        <w:t xml:space="preserve">One name and one membership now: a</w:t>
      </w:r>
      <w:r>
        <w:t xml:space="preserve"> </w:t>
      </w:r>
      <w:r>
        <w:rPr>
          <w:bCs/>
          <w:b/>
        </w:rPr>
        <w:t xml:space="preserve">five-quantity evaluation set</w:t>
      </w:r>
      <w:r>
        <w:t xml:space="preserve">, decision</w:t>
      </w:r>
      <w:r>
        <w:t xml:space="preserve"> </w:t>
      </w:r>
      <w:r>
        <w:t xml:space="preserve">accuracy beside four safety-relevant rates. Alarm burden is stated as the</w:t>
      </w:r>
      <w:r>
        <w:t xml:space="preserve"> </w:t>
      </w:r>
      <w:r>
        <w:t xml:space="preserve">false-alarm rate in operational units under Eq. 9, not a sixth quantity — in the</w:t>
      </w:r>
      <w:r>
        <w:t xml:space="preserve"> </w:t>
      </w:r>
      <w:r>
        <w:t xml:space="preserve">defining section and under Fig. 1’s metric bar. Fig. 1’s five cells are now</w:t>
      </w:r>
      <w:r>
        <w:t xml:space="preserve"> </w:t>
      </w:r>
      <w:r>
        <w:t xml:space="preserve">Table 5’s five rows, and a gate compares them.</w:t>
      </w:r>
    </w:p>
    <w:bookmarkEnd w:id="21"/>
    <w:bookmarkStart w:id="22" w:name="the-both-rates-sentence"/>
    <w:p>
      <w:pPr>
        <w:pStyle w:val="Heading2"/>
      </w:pPr>
      <w:r>
        <w:t xml:space="preserve">3. The both-rates sentence</w:t>
      </w:r>
    </w:p>
    <w:p>
      <w:pPr>
        <w:pStyle w:val="FirstParagraph"/>
      </w:pPr>
      <w:r>
        <w:t xml:space="preserve">“</w:t>
      </w:r>
      <w:r>
        <w:t xml:space="preserve">Both rates are reported from here on</w:t>
      </w:r>
      <w:r>
        <w:t xml:space="preserve">”</w:t>
      </w:r>
      <w:r>
        <w:t xml:space="preserve"> </w:t>
      </w:r>
      <w:r>
        <w:t xml:space="preserve">promised more than the tables deliver.</w:t>
      </w:r>
      <w:r>
        <w:t xml:space="preserve"> </w:t>
      </w:r>
      <w:r>
        <w:t xml:space="preserve">It now reads that the all-nonhazardous rate is reported as a sensitivity</w:t>
      </w:r>
      <w:r>
        <w:t xml:space="preserve"> </w:t>
      </w:r>
      <w:r>
        <w:t xml:space="preserve">alongside the primary clean-air rate where it bears on a claim, and that Eq. 8</w:t>
      </w:r>
      <w:r>
        <w:t xml:space="preserve"> </w:t>
      </w:r>
      <w:r>
        <w:t xml:space="preserve">itself stays NoGas-only.</w:t>
      </w:r>
    </w:p>
    <w:bookmarkEnd w:id="22"/>
    <w:bookmarkStart w:id="23" w:name="a-current-drift-reference"/>
    <w:p>
      <w:pPr>
        <w:pStyle w:val="Heading2"/>
      </w:pPr>
      <w:r>
        <w:t xml:space="preserve">4. A current drift reference</w:t>
      </w:r>
    </w:p>
    <w:p>
      <w:pPr>
        <w:pStyle w:val="FirstParagraph"/>
      </w:pPr>
      <w:r>
        <w:t xml:space="preserve">Added to the unknown-gases discussion and verified against the publisher’s own</w:t>
      </w:r>
      <w:r>
        <w:t xml:space="preserve"> </w:t>
      </w:r>
      <w:r>
        <w:t xml:space="preserve">page rather than from memory: Lin, J. and Zhan, X. 2026,</w:t>
      </w:r>
      <w:r>
        <w:t xml:space="preserve"> </w:t>
      </w:r>
      <w:r>
        <w:rPr>
          <w:iCs/>
          <w:i/>
        </w:rPr>
        <w:t xml:space="preserve">Sensor-Drift</w:t>
      </w:r>
      <w:r>
        <w:rPr>
          <w:iCs/>
          <w:i/>
        </w:rPr>
        <w:t xml:space="preserve"> </w:t>
      </w:r>
      <w:r>
        <w:rPr>
          <w:iCs/>
          <w:i/>
        </w:rPr>
        <w:t xml:space="preserve">Compensation in Electronic-Nose-Based Gas Recognition Using Knowledge</w:t>
      </w:r>
      <w:r>
        <w:rPr>
          <w:iCs/>
          <w:i/>
        </w:rPr>
        <w:t xml:space="preserve"> </w:t>
      </w:r>
      <w:r>
        <w:rPr>
          <w:iCs/>
          <w:i/>
        </w:rPr>
        <w:t xml:space="preserve">Distillation</w:t>
      </w:r>
      <w:r>
        <w:t xml:space="preserve">, Informatics 13 (1): 15, doi 10.3390/informatics13010015. It suits</w:t>
      </w:r>
      <w:r>
        <w:t xml:space="preserve"> </w:t>
      </w:r>
      <w:r>
        <w:t xml:space="preserve">the point being made because it evaluates with repeated randomized trials and</w:t>
      </w:r>
      <w:r>
        <w:t xml:space="preserve"> </w:t>
      </w:r>
      <w:r>
        <w:t xml:space="preserve">significance testing rather than a single split.</w:t>
      </w:r>
    </w:p>
    <w:bookmarkEnd w:id="23"/>
    <w:bookmarkStart w:id="24" w:name="the-repository-landing-page"/>
    <w:p>
      <w:pPr>
        <w:pStyle w:val="Heading2"/>
      </w:pPr>
      <w:r>
        <w:t xml:space="preserve">5. The repository landing page</w:t>
      </w:r>
    </w:p>
    <w:p>
      <w:pPr>
        <w:pStyle w:val="FirstParagraph"/>
      </w:pPr>
      <w:r>
        <w:t xml:space="preserve">The README now opens with a blockquote stating that the paper reproduces from the</w:t>
      </w:r>
      <w:r>
        <w:t xml:space="preserve"> </w:t>
      </w:r>
      <w:r>
        <w:t xml:space="preserve">tag</w:t>
      </w:r>
      <w:r>
        <w:t xml:space="preserve"> </w:t>
      </w:r>
      <w:r>
        <w:rPr>
          <w:rStyle w:val="VerbatimChar"/>
        </w:rPr>
        <w:t xml:space="preserve">v13-submission</w:t>
      </w:r>
      <w:r>
        <w:t xml:space="preserve">, not from the tip of the default branch, with the two</w:t>
      </w:r>
      <w:r>
        <w:t xml:space="preserve"> </w:t>
      </w:r>
      <w:r>
        <w:t xml:space="preserve">commands that check and rebuild it, and a note that the default branch carries</w:t>
      </w:r>
      <w:r>
        <w:t xml:space="preserve"> </w:t>
      </w:r>
      <w:r>
        <w:t xml:space="preserve">development material.</w:t>
      </w:r>
    </w:p>
    <w:bookmarkEnd w:id="24"/>
    <w:bookmarkStart w:id="25" w:name="Xce18d025847189dfc1ea3538e8fdbe2dba9fd94"/>
    <w:p>
      <w:pPr>
        <w:pStyle w:val="Heading2"/>
      </w:pPr>
      <w:r>
        <w:t xml:space="preserve">6. The page proof, which nothing had ever looked at</w:t>
      </w:r>
    </w:p>
    <w:p>
      <w:pPr>
        <w:pStyle w:val="FirstParagraph"/>
      </w:pPr>
      <w:r>
        <w:t xml:space="preserve">The review’s last item was a visual check of the built document. Doing it turned</w:t>
      </w:r>
      <w:r>
        <w:t xml:space="preserve"> </w:t>
      </w:r>
      <w:r>
        <w:t xml:space="preserve">up five defects that exist only after the Markdown has become a paginated file,</w:t>
      </w:r>
      <w:r>
        <w:t xml:space="preserve"> </w:t>
      </w:r>
      <w:r>
        <w:t xml:space="preserve">and that no check in the repository could have caught, because every check ran on</w:t>
      </w:r>
      <w:r>
        <w:t xml:space="preserve"> </w:t>
      </w:r>
      <w:r>
        <w:t xml:space="preserve">the sources.</w:t>
      </w:r>
    </w:p>
    <w:p>
      <w:pPr>
        <w:pStyle w:val="BodyText"/>
      </w:pPr>
      <w:r>
        <w:rPr>
          <w:bCs/>
          <w:b/>
        </w:rPr>
        <w:t xml:space="preserve">Fig. 5’s caption was missing two symbols.</w:t>
      </w:r>
      <w:r>
        <w:t xml:space="preserve"> </w:t>
      </w:r>
      <w:r>
        <w:t xml:space="preserve">It was written with</w:t>
      </w:r>
      <w:r>
        <w:t xml:space="preserve"> </w:t>
      </w:r>
      <w:r>
        <w:rPr>
          <w:rStyle w:val="VerbatimChar"/>
        </w:rPr>
        <w:t xml:space="preserve">$V$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$A$</w:t>
      </w:r>
      <w:r>
        <w:t xml:space="preserve">. Pandoc turns inline TeX into an OMML run, which Word renders and</w:t>
      </w:r>
      <w:r>
        <w:t xml:space="preserve"> </w:t>
      </w:r>
      <w:r>
        <w:t xml:space="preserve">LibreOffice, Google Docs and several PDF converters drop silently. The caption</w:t>
      </w:r>
      <w:r>
        <w:t xml:space="preserve"> </w:t>
      </w:r>
      <w:r>
        <w:t xml:space="preserve">read ” = value stream; = advantage stream” in everything but Word. It is now</w:t>
      </w:r>
      <w:r>
        <w:t xml:space="preserve"> </w:t>
      </w:r>
      <w:r>
        <w:t xml:space="preserve">set in italic like every other symbol in the paper, and a gate rejects inline</w:t>
      </w:r>
      <w:r>
        <w:t xml:space="preserve"> </w:t>
      </w:r>
      <w:r>
        <w:t xml:space="preserve">TeX anywhere in either source.</w:t>
      </w:r>
    </w:p>
    <w:p>
      <w:pPr>
        <w:pStyle w:val="BodyText"/>
      </w:pPr>
      <w:r>
        <w:rPr>
          <w:bCs/>
          <w:b/>
        </w:rPr>
        <w:t xml:space="preserve">The author line printed its affiliation markers as carets.</w:t>
      </w:r>
      <w:r>
        <w:t xml:space="preserve"> </w:t>
      </w:r>
      <w:r>
        <w:rPr>
          <w:rStyle w:val="VerbatimChar"/>
        </w:rPr>
        <w:t xml:space="preserve">^1,2,\*</w:t>
      </w:r>
      <w:r>
        <w:t xml:space="preserve"> </w:t>
      </w:r>
      <w:r>
        <w:t xml:space="preserve">is not</w:t>
      </w:r>
      <w:r>
        <w:t xml:space="preserve"> </w:t>
      </w:r>
      <w:r>
        <w:t xml:space="preserve">superscript in Pandoc, which needs a closing caret, so the title page read</w:t>
      </w:r>
      <w:r>
        <w:t xml:space="preserve"> </w:t>
      </w:r>
      <w:r>
        <w:t xml:space="preserve">“</w:t>
      </w:r>
      <w:r>
        <w:t xml:space="preserve">Nweke^1,2,*</w:t>
      </w:r>
      <w:r>
        <w:t xml:space="preserve">”</w:t>
      </w:r>
      <w:r>
        <w:t xml:space="preserve"> </w:t>
      </w:r>
      <w:r>
        <w:t xml:space="preserve">and ran the two affiliations together on one line. Three</w:t>
      </w:r>
      <w:r>
        <w:t xml:space="preserve"> </w:t>
      </w:r>
      <w:r>
        <w:t xml:space="preserve">exponents in the body had the same defect. Both are fixed, and a gate requires</w:t>
      </w:r>
      <w:r>
        <w:t xml:space="preserve"> </w:t>
      </w:r>
      <w:r>
        <w:t xml:space="preserve">every superscript marker to be closed.</w:t>
      </w:r>
    </w:p>
    <w:p>
      <w:pPr>
        <w:pStyle w:val="BodyText"/>
      </w:pPr>
      <w:r>
        <w:rPr>
          <w:bCs/>
          <w:b/>
        </w:rPr>
        <w:t xml:space="preserve">Words were being broken mid-word inside table columns.</w:t>
      </w:r>
      <w:r>
        <w:t xml:space="preserve"> </w:t>
      </w:r>
      <w:r>
        <w:t xml:space="preserve">Pandoc gives every</w:t>
      </w:r>
      <w:r>
        <w:t xml:space="preserve"> </w:t>
      </w:r>
      <w:r>
        <w:t xml:space="preserve">column an equal share of the text width, so</w:t>
      </w:r>
      <w:r>
        <w:t xml:space="preserve"> </w:t>
      </w:r>
      <w:r>
        <w:rPr>
          <w:rStyle w:val="VerbatimChar"/>
        </w:rPr>
        <w:t xml:space="preserve">Conservative</w:t>
      </w:r>
      <w:r>
        <w:t xml:space="preserve"> </w:t>
      </w:r>
      <w:r>
        <w:t xml:space="preserve">printed as</w:t>
      </w:r>
      <w:r>
        <w:t xml:space="preserve"> </w:t>
      </w:r>
      <w:r>
        <w:t xml:space="preserve">“</w:t>
      </w:r>
      <w:r>
        <w:t xml:space="preserve">Conservati / ve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retrain/run_overlap_isolation.py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w:r>
        <w:t xml:space="preserve">isolati / o / n</w:t>
      </w:r>
      <w:r>
        <w:t xml:space="preserve">”</w:t>
      </w:r>
      <w:r>
        <w:t xml:space="preserve"> </w:t>
      </w:r>
      <w:r>
        <w:t xml:space="preserve">while a column of four-digit numbers sat half empty. Each column now gets the</w:t>
      </w:r>
      <w:r>
        <w:t xml:space="preserve"> </w:t>
      </w:r>
      <w:r>
        <w:t xml:space="preserve">width its widest unbreakable word needs, and what is left over is shared out in</w:t>
      </w:r>
      <w:r>
        <w:t xml:space="preserve"> </w:t>
      </w:r>
      <w:r>
        <w:t xml:space="preserve">proportion to how much text the column carries. Tables are set at 9 pt, as SPE</w:t>
      </w:r>
      <w:r>
        <w:t xml:space="preserve"> </w:t>
      </w:r>
      <w:r>
        <w:t xml:space="preserve">sets them, stepping down only where a column demands it: one table, the</w:t>
      </w:r>
      <w:r>
        <w:t xml:space="preserve"> </w:t>
      </w:r>
      <w:r>
        <w:t xml:space="preserve">provenance map with its file paths, is at 7 pt.</w:t>
      </w:r>
    </w:p>
    <w:p>
      <w:pPr>
        <w:pStyle w:val="BodyText"/>
      </w:pPr>
      <w:r>
        <w:rPr>
          <w:bCs/>
          <w:b/>
        </w:rPr>
        <w:t xml:space="preserve">Table rows broke across page boundaries,</w:t>
      </w:r>
      <w:r>
        <w:t xml:space="preserve"> </w:t>
      </w:r>
      <w:r>
        <w:t xml:space="preserve">so a row’s first line sat at the</w:t>
      </w:r>
      <w:r>
        <w:t xml:space="preserve"> </w:t>
      </w:r>
      <w:r>
        <w:t xml:space="preserve">foot of one page and the rest opened the next. Every row now carries</w:t>
      </w:r>
      <w:r>
        <w:t xml:space="preserve"> </w:t>
      </w:r>
      <w:r>
        <w:rPr>
          <w:rStyle w:val="VerbatimChar"/>
        </w:rPr>
        <w:t xml:space="preserve">w:cantSplit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Fig. 2 was separated from its caption,</w:t>
      </w:r>
      <w:r>
        <w:t xml:space="preserve"> </w:t>
      </w:r>
      <w:r>
        <w:t xml:space="preserve">image at the foot of page 9 and</w:t>
      </w:r>
      <w:r>
        <w:t xml:space="preserve"> </w:t>
      </w:r>
      <w:r>
        <w:t xml:space="preserve">caption at the head of page 10. Every figure paragraph now carries</w:t>
      </w:r>
      <w:r>
        <w:t xml:space="preserve"> </w:t>
      </w:r>
      <w:r>
        <w:rPr>
          <w:rStyle w:val="VerbatimChar"/>
        </w:rPr>
        <w:t xml:space="preserve">w:keepNext</w:t>
      </w:r>
      <w:r>
        <w:t xml:space="preserve">.</w:t>
      </w:r>
    </w:p>
    <w:p>
      <w:pPr>
        <w:pStyle w:val="BodyText"/>
      </w:pPr>
      <w:r>
        <w:t xml:space="preserve">The document build was a pandoc command typed by hand, which is why none of this</w:t>
      </w:r>
      <w:r>
        <w:t xml:space="preserve"> </w:t>
      </w:r>
      <w:r>
        <w:t xml:space="preserve">was reproducible. It is now</w:t>
      </w:r>
      <w:r>
        <w:t xml:space="preserve"> </w:t>
      </w:r>
      <w:r>
        <w:rPr>
          <w:rStyle w:val="VerbatimChar"/>
        </w:rPr>
        <w:t xml:space="preserve">build_docx.py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make docx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check_page_proof.py</w:t>
      </w:r>
      <w:r>
        <w:t xml:space="preserve"> </w:t>
      </w:r>
      <w:r>
        <w:t xml:space="preserve">reads the built document the way a production editor</w:t>
      </w:r>
      <w:r>
        <w:t xml:space="preserve"> </w:t>
      </w:r>
      <w:r>
        <w:t xml:space="preserve">would: it builds both documents, renders them, and fails if any word is broken</w:t>
      </w:r>
      <w:r>
        <w:t xml:space="preserve"> </w:t>
      </w:r>
      <w:r>
        <w:t xml:space="preserve">across a line, if any figure reaches the page at other than 6.50 in, if any table</w:t>
      </w:r>
      <w:r>
        <w:t xml:space="preserve"> </w:t>
      </w:r>
      <w:r>
        <w:t xml:space="preserve">row can break across a page, if any figure is not bound to its caption, or if</w:t>
      </w:r>
      <w:r>
        <w:t xml:space="preserve"> </w:t>
      </w:r>
      <w:r>
        <w:t xml:space="preserve">the figure and table captions are not present once each, in order, with every</w:t>
      </w:r>
      <w:r>
        <w:t xml:space="preserve"> </w:t>
      </w:r>
      <w:r>
        <w:t xml:space="preserve">cross-reference resolving. It runs under</w:t>
      </w:r>
      <w:r>
        <w:t xml:space="preserve"> </w:t>
      </w:r>
      <w:r>
        <w:rPr>
          <w:rStyle w:val="VerbatimChar"/>
        </w:rPr>
        <w:t xml:space="preserve">make proof</w:t>
      </w:r>
      <w:r>
        <w:t xml:space="preserve"> </w:t>
      </w:r>
      <w:r>
        <w:t xml:space="preserve">and inside</w:t>
      </w:r>
      <w:r>
        <w:t xml:space="preserve"> </w:t>
      </w:r>
      <w:r>
        <w:rPr>
          <w:rStyle w:val="VerbatimChar"/>
        </w:rPr>
        <w:t xml:space="preserve">make check</w:t>
      </w:r>
      <w:r>
        <w:t xml:space="preserve">.</w:t>
      </w:r>
      <w:r>
        <w:t xml:space="preserve"> </w:t>
      </w:r>
      <w:r>
        <w:t xml:space="preserve">Putting each defect back makes the matching check fail, which is how I know they</w:t>
      </w:r>
      <w:r>
        <w:t xml:space="preserve"> </w:t>
      </w:r>
      <w:r>
        <w:t xml:space="preserve">work.</w:t>
      </w:r>
    </w:p>
    <w:p>
      <w:pPr>
        <w:pStyle w:val="BodyText"/>
      </w:pPr>
      <w:r>
        <w:t xml:space="preserve">The manuscript is 53 pages, down from 60, entirely from the table work.</w:t>
      </w:r>
    </w:p>
    <w:p>
      <w:pPr>
        <w:pStyle w:val="BodyText"/>
      </w:pPr>
      <w:r>
        <w:t xml:space="preserve">One thing this pass could not settle: the 0.126 in right-shift LibreOffice gives</w:t>
      </w:r>
      <w:r>
        <w:t xml:space="preserve"> </w:t>
      </w:r>
      <w:r>
        <w:t xml:space="preserve">every inline image is a quirk of that renderer, not of the file. The document</w:t>
      </w:r>
      <w:r>
        <w:t xml:space="preserve"> </w:t>
      </w:r>
      <w:r>
        <w:t xml:space="preserve">declares 1 in margins, a 6.5 in text column and a 6.5 in image, with no indent;</w:t>
      </w:r>
      <w:r>
        <w:t xml:space="preserve"> </w:t>
      </w:r>
      <w:r>
        <w:t xml:space="preserve">a control document built the same way shifts by the same 0.126 in whatever width</w:t>
      </w:r>
      <w:r>
        <w:t xml:space="preserve"> </w:t>
      </w:r>
      <w:r>
        <w:t xml:space="preserve">the image is given. Word will place them at the margin.</w:t>
      </w:r>
    </w:p>
    <w:p>
      <w:r>
        <w:pict>
          <v:rect style="width:0;height:1.5pt" o:hralign="center" o:hrstd="t" o:hr="t"/>
        </w:pict>
      </w:r>
    </w:p>
    <w:bookmarkEnd w:id="25"/>
    <w:bookmarkStart w:id="26" w:name="what-is-left-and-why-i-did-not-invent-it"/>
    <w:p>
      <w:pPr>
        <w:pStyle w:val="Heading2"/>
      </w:pPr>
      <w:r>
        <w:t xml:space="preserve">What is left, and why I did not invent it</w:t>
      </w:r>
    </w:p>
    <w:p>
      <w:pPr>
        <w:pStyle w:val="FirstParagraph"/>
      </w:pPr>
      <w:r>
        <w:t xml:space="preserve">Four facts are yours to supply. Rather than leave them as prose promises, each is</w:t>
      </w:r>
      <w:r>
        <w:t xml:space="preserve"> </w:t>
      </w:r>
      <w:r>
        <w:t xml:space="preserve">now an explicit placeholder that fails</w:t>
      </w:r>
      <w:r>
        <w:t xml:space="preserve"> </w:t>
      </w:r>
      <w:r>
        <w:rPr>
          <w:rStyle w:val="VerbatimChar"/>
        </w:rPr>
        <w:t xml:space="preserve">verify_v13.py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792"/>
        <w:gridCol w:w="2294"/>
        <w:gridCol w:w="3274"/>
      </w:tblGrid>
      <w:tr>
        <w:trPr>
          <w:cantSplit/>
          <w:tblHeader/>
          <w:tblHeader w:val="true"/>
        </w:trPr>
        <w:tc>
          <w:tcPr>
            <w:tcW w:type="pct" w:w="2026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Placeholder</w:t>
            </w:r>
          </w:p>
        </w:tc>
        <w:tc>
          <w:tcPr>
            <w:tcW w:type="pct" w:w="1225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Where</w:t>
            </w:r>
          </w:p>
        </w:tc>
        <w:tc>
          <w:tcPr>
            <w:tcW w:type="pct" w:w="1749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What it needs</w:t>
            </w:r>
          </w:p>
        </w:tc>
      </w:tr>
      <w:tr>
        <w:trPr>
          <w:cantSplit/>
        </w:trPr>
        <w:tc>
          <w:tcPr>
            <w:tcW w:type="pct" w:w="2026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  <w:szCs w:val="18"/>
              </w:rPr>
              <w:t xml:space="preserve">⟨ULTRALYTICS_VERSION⟩</w:t>
            </w:r>
          </w:p>
        </w:tc>
        <w:tc>
          <w:tcPr>
            <w:tcW w:type="pct" w:w="1225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Appendix A</w:t>
            </w:r>
          </w:p>
        </w:tc>
        <w:tc>
          <w:tcPr>
            <w:tcW w:type="pct" w:w="1749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the exact version used to train the thermal classifier</w:t>
            </w:r>
          </w:p>
        </w:tc>
      </w:tr>
      <w:tr>
        <w:trPr>
          <w:cantSplit/>
        </w:trPr>
        <w:tc>
          <w:tcPr>
            <w:tcW w:type="pct" w:w="2026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  <w:szCs w:val="18"/>
              </w:rPr>
              <w:t xml:space="preserve">⟨REPOSITORY_URL⟩</w:t>
            </w:r>
          </w:p>
        </w:tc>
        <w:tc>
          <w:tcPr>
            <w:tcW w:type="pct" w:w="1225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Data and Code Availability</w:t>
            </w:r>
          </w:p>
        </w:tc>
        <w:tc>
          <w:tcPr>
            <w:tcW w:type="pct" w:w="1749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the public repository URL</w:t>
            </w:r>
          </w:p>
        </w:tc>
      </w:tr>
      <w:tr>
        <w:trPr>
          <w:cantSplit/>
        </w:trPr>
        <w:tc>
          <w:tcPr>
            <w:tcW w:type="pct" w:w="2026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  <w:szCs w:val="18"/>
              </w:rPr>
              <w:t xml:space="preserve">⟨COMMIT_SHA⟩</w:t>
            </w:r>
          </w:p>
        </w:tc>
        <w:tc>
          <w:tcPr>
            <w:tcW w:type="pct" w:w="1225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Data and Code Availability</w:t>
            </w:r>
          </w:p>
        </w:tc>
        <w:tc>
          <w:tcPr>
            <w:tcW w:type="pct" w:w="1749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the commit the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Style w:val="VerbatimChar"/>
                <w:sz w:val="18"/>
                <w:szCs w:val="18"/>
              </w:rPr>
              <w:t xml:space="preserve">v13-submission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tag points at</w:t>
            </w:r>
          </w:p>
        </w:tc>
      </w:tr>
      <w:tr>
        <w:trPr>
          <w:cantSplit/>
        </w:trPr>
        <w:tc>
          <w:tcPr>
            <w:tcW w:type="pct" w:w="2026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  <w:szCs w:val="18"/>
              </w:rPr>
              <w:t xml:space="preserve">⟨ARCHIVE_DOI⟩</w:t>
            </w:r>
          </w:p>
        </w:tc>
        <w:tc>
          <w:tcPr>
            <w:tcW w:type="pct" w:w="1225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Data and Code Availability</w:t>
            </w:r>
          </w:p>
        </w:tc>
        <w:tc>
          <w:tcPr>
            <w:tcW w:type="pct" w:w="1749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the archival deposit DOI</w:t>
            </w:r>
          </w:p>
        </w:tc>
      </w:tr>
    </w:tbl>
    <w:p>
      <w:pPr>
        <w:pStyle w:val="BodyText"/>
      </w:pPr>
      <w:r>
        <w:t xml:space="preserve">The availability statement no longer says a DOI</w:t>
      </w:r>
      <w:r>
        <w:t xml:space="preserve"> </w:t>
      </w:r>
      <w:r>
        <w:t xml:space="preserve">“</w:t>
      </w:r>
      <w:r>
        <w:t xml:space="preserve">will be added once minted</w:t>
      </w:r>
      <w:r>
        <w:t xml:space="preserve">”</w:t>
      </w:r>
      <w:r>
        <w:t xml:space="preserve">; a</w:t>
      </w:r>
      <w:r>
        <w:t xml:space="preserve"> </w:t>
      </w:r>
      <w:r>
        <w:t xml:space="preserve">gate rejects that wording, because a reproducibility statement that defers its</w:t>
      </w:r>
      <w:r>
        <w:t xml:space="preserve"> </w:t>
      </w:r>
      <w:r>
        <w:t xml:space="preserve">own identifier is the thing the reviewer objected to.</w:t>
      </w:r>
    </w:p>
    <w:bookmarkEnd w:id="26"/>
    <w:bookmarkStart w:id="27" w:name="state"/>
    <w:p>
      <w:pPr>
        <w:pStyle w:val="Heading2"/>
      </w:pPr>
      <w:r>
        <w:t xml:space="preserve">State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349"/>
        <w:gridCol w:w="4011"/>
      </w:tblGrid>
      <w:tr>
        <w:trPr>
          <w:cantSplit/>
          <w:tblHeader/>
          <w:tblHeader w:val="true"/>
        </w:trPr>
        <w:tc>
          <w:tcPr>
            <w:tcW w:type="pct" w:w="2857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Suite</w:t>
            </w:r>
          </w:p>
        </w:tc>
        <w:tc>
          <w:tcPr>
            <w:tcW w:type="pct" w:w="2143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Result</w:t>
            </w:r>
          </w:p>
        </w:tc>
      </w:tr>
      <w:tr>
        <w:trPr>
          <w:cantSplit/>
        </w:trPr>
        <w:tc>
          <w:tcPr>
            <w:tcW w:type="pct" w:w="2857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  <w:szCs w:val="18"/>
              </w:rPr>
              <w:t xml:space="preserve">verify_v13.py</w:t>
            </w:r>
          </w:p>
        </w:tc>
        <w:tc>
          <w:tcPr>
            <w:tcW w:type="pct" w:w="2143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1,001 checks, 4 failures, all four the placeholders above</w:t>
            </w:r>
          </w:p>
        </w:tc>
      </w:tr>
      <w:tr>
        <w:trPr>
          <w:cantSplit/>
        </w:trPr>
        <w:tc>
          <w:tcPr>
            <w:tcW w:type="pct" w:w="2857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  <w:szCs w:val="18"/>
              </w:rPr>
              <w:t xml:space="preserve">self_audit.py</w:t>
            </w:r>
          </w:p>
        </w:tc>
        <w:tc>
          <w:tcPr>
            <w:tcW w:type="pct" w:w="2143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974 checks, 0</w:t>
            </w:r>
          </w:p>
        </w:tc>
      </w:tr>
      <w:tr>
        <w:trPr>
          <w:cantSplit/>
        </w:trPr>
        <w:tc>
          <w:tcPr>
            <w:tcW w:type="pct" w:w="2857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  <w:szCs w:val="18"/>
              </w:rPr>
              <w:t xml:space="preserve">test_safety_metrics.py</w:t>
            </w:r>
          </w:p>
        </w:tc>
        <w:tc>
          <w:tcPr>
            <w:tcW w:type="pct" w:w="2143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30 assertions, 0</w:t>
            </w:r>
          </w:p>
        </w:tc>
      </w:tr>
      <w:tr>
        <w:trPr>
          <w:cantSplit/>
        </w:trPr>
        <w:tc>
          <w:tcPr>
            <w:tcW w:type="pct" w:w="2857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  <w:szCs w:val="18"/>
              </w:rPr>
              <w:t xml:space="preserve">audit_release.py</w:t>
            </w:r>
          </w:p>
        </w:tc>
        <w:tc>
          <w:tcPr>
            <w:tcW w:type="pct" w:w="2143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0 problems</w:t>
            </w:r>
          </w:p>
        </w:tc>
      </w:tr>
      <w:tr>
        <w:trPr>
          <w:cantSplit/>
        </w:trPr>
        <w:tc>
          <w:tcPr>
            <w:tcW w:type="pct" w:w="2857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  <w:szCs w:val="18"/>
              </w:rPr>
              <w:t xml:space="preserve">check_figure_text.py</w:t>
            </w:r>
          </w:p>
        </w:tc>
        <w:tc>
          <w:tcPr>
            <w:tcW w:type="pct" w:w="2143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23 figures, 0 overlapping pairs, 0 labels outside a box</w:t>
            </w:r>
          </w:p>
        </w:tc>
      </w:tr>
      <w:tr>
        <w:trPr>
          <w:cantSplit/>
        </w:trPr>
        <w:tc>
          <w:tcPr>
            <w:tcW w:type="pct" w:w="2857"/>
          </w:tcPr>
          <w:p>
            <w:pPr>
              <w:pStyle w:val="Compact"/>
              <w:jc w:val="left"/>
            </w:pPr>
            <w:r>
              <w:rPr>
                <w:rStyle w:val="VerbatimChar"/>
                <w:sz w:val="18"/>
                <w:szCs w:val="18"/>
              </w:rPr>
              <w:t xml:space="preserve">check_page_proof.py</w:t>
            </w:r>
          </w:p>
        </w:tc>
        <w:tc>
          <w:tcPr>
            <w:tcW w:type="pct" w:w="2143"/>
          </w:tcPr>
          <w:p>
            <w:pPr>
              <w:pStyle w:val="Compact"/>
              <w:jc w:val="left"/>
            </w:pPr>
            <w:r>
              <w:rPr>
                <w:sz w:val="18"/>
                <w:szCs w:val="18"/>
              </w:rPr>
              <w:t xml:space="preserve">27 checks, 0</w:t>
            </w:r>
          </w:p>
        </w:tc>
      </w:tr>
    </w:tbl>
    <w:p>
      <w:pPr>
        <w:pStyle w:val="BodyText"/>
      </w:pPr>
      <w:r>
        <w:t xml:space="preserve">Supply the four values and the suite goes green.</w:t>
      </w:r>
    </w:p>
    <w:bookmarkEnd w:id="27"/>
    <w:bookmarkStart w:id="28" w:name="X3fd258bdd266d581c6139d0c2fcb11b52fae313"/>
    <w:p>
      <w:pPr>
        <w:pStyle w:val="Heading2"/>
      </w:pPr>
      <w:r>
        <w:t xml:space="preserve">One judgement call I did not make for you</w:t>
      </w:r>
    </w:p>
    <w:p>
      <w:pPr>
        <w:pStyle w:val="FirstParagraph"/>
      </w:pPr>
      <w:r>
        <w:t xml:space="preserve">Fig. 1 is set in a Times-metric serif to match the model paper. The other</w:t>
      </w:r>
      <w:r>
        <w:t xml:space="preserve"> </w:t>
      </w:r>
      <w:r>
        <w:t xml:space="preserve">twenty-two figures are sans-serif. Within one paper that is a visible</w:t>
      </w:r>
      <w:r>
        <w:t xml:space="preserve"> </w:t>
      </w:r>
      <w:r>
        <w:t xml:space="preserve">inconsistency and a production editor may flag it. Moving everything to serif is</w:t>
      </w:r>
      <w:r>
        <w:t xml:space="preserve"> </w:t>
      </w:r>
      <w:r>
        <w:t xml:space="preserve">a bounded job because the text-overlap checker verifies the result mechanically,</w:t>
      </w:r>
      <w:r>
        <w:t xml:space="preserve"> </w:t>
      </w:r>
      <w:r>
        <w:t xml:space="preserve">but it touches every figure, so I have left it for you to call.</w:t>
      </w:r>
    </w:p>
    <w:bookmarkEnd w:id="28"/>
    <w:bookmarkEnd w:id="29"/>
    <w:sectPr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2026-09-16T21:47:46Z</dcterms:created>
  <dcterms:modified xsi:type="dcterms:W3CDTF">2026-09-16T21:47:46Z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