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3a0d79557f0651a1bcd0f8411947486df56bee"/>
    <w:p>
      <w:pPr>
        <w:pStyle w:val="Heading1"/>
      </w:pPr>
      <w:r>
        <w:t xml:space="preserve">Text integrity audit: ARXIS manuscript v10</w:t>
      </w:r>
    </w:p>
    <w:p>
      <w:pPr>
        <w:pStyle w:val="FirstParagraph"/>
      </w:pPr>
      <w:r>
        <w:t xml:space="preserve">Two questions were asked of the manuscript: does it reuse anyone’s text, and does</w:t>
      </w:r>
      <w:r>
        <w:t xml:space="preserve"> </w:t>
      </w:r>
      <w:r>
        <w:t xml:space="preserve">its prose carry the signature that commercial AI-writing detectors look for. The</w:t>
      </w:r>
      <w:r>
        <w:t xml:space="preserve"> </w:t>
      </w:r>
      <w:r>
        <w:t xml:space="preserve">first has a definite answer. The second does not, and the honest form of this</w:t>
      </w:r>
      <w:r>
        <w:t xml:space="preserve"> </w:t>
      </w:r>
      <w:r>
        <w:t xml:space="preserve">report says so before it says anything else.</w:t>
      </w:r>
    </w:p>
    <w:bookmarkStart w:id="20" w:name="what-cannot-be-delivered-and-why"/>
    <w:p>
      <w:pPr>
        <w:pStyle w:val="Heading2"/>
      </w:pPr>
      <w:r>
        <w:t xml:space="preserve">What cannot be delivered, and why</w:t>
      </w:r>
    </w:p>
    <w:p>
      <w:pPr>
        <w:pStyle w:val="FirstParagraph"/>
      </w:pPr>
      <w:r>
        <w:t xml:space="preserve">There is no scientifically reliable way to compute an</w:t>
      </w:r>
      <w:r>
        <w:t xml:space="preserve"> </w:t>
      </w:r>
      <w:r>
        <w:t xml:space="preserve">“</w:t>
      </w:r>
      <w:r>
        <w:t xml:space="preserve">AI percentage</w:t>
      </w:r>
      <w:r>
        <w:t xml:space="preserve">”</w:t>
      </w:r>
      <w:r>
        <w:t xml:space="preserve"> </w:t>
      </w:r>
      <w:r>
        <w:t xml:space="preserve">for a piece</w:t>
      </w:r>
      <w:r>
        <w:t xml:space="preserve"> </w:t>
      </w:r>
      <w:r>
        <w:t xml:space="preserve">of text. Commercial detectors return one anyway, and that number is not a</w:t>
      </w:r>
      <w:r>
        <w:t xml:space="preserve"> </w:t>
      </w:r>
      <w:r>
        <w:t xml:space="preserve">measurement. Published evaluations of these tools report high false-positive</w:t>
      </w:r>
      <w:r>
        <w:t xml:space="preserve"> </w:t>
      </w:r>
      <w:r>
        <w:t xml:space="preserve">rates on non-native English, on heavily edited technical prose, and on writing</w:t>
      </w:r>
      <w:r>
        <w:t xml:space="preserve"> </w:t>
      </w:r>
      <w:r>
        <w:t xml:space="preserve">from any domain with a fixed register, which describes a journal methods section</w:t>
      </w:r>
      <w:r>
        <w:t xml:space="preserve"> </w:t>
      </w:r>
      <w:r>
        <w:t xml:space="preserve">exactly. A detector score on this manuscript would be a number without a</w:t>
      </w:r>
      <w:r>
        <w:t xml:space="preserve"> </w:t>
      </w:r>
      <w:r>
        <w:t xml:space="preserve">denominator, and quoting one here would be worse than quoting nothing.</w:t>
      </w:r>
    </w:p>
    <w:p>
      <w:pPr>
        <w:pStyle w:val="BodyText"/>
      </w:pPr>
      <w:r>
        <w:t xml:space="preserve">What can be done instead is to measure the features detectors actually key on and</w:t>
      </w:r>
      <w:r>
        <w:t xml:space="preserve"> </w:t>
      </w:r>
      <w:r>
        <w:t xml:space="preserve">compare them against a peer-reviewed, human-written paper from the same journal</w:t>
      </w:r>
      <w:r>
        <w:t xml:space="preserve"> </w:t>
      </w:r>
      <w:r>
        <w:t xml:space="preserve">and the same section. That comparison is interpretable. A score is not.</w:t>
      </w:r>
    </w:p>
    <w:p>
      <w:pPr>
        <w:pStyle w:val="BodyText"/>
      </w:pPr>
      <w:r>
        <w:t xml:space="preserve">The comparator is SPE-219771-PA,</w:t>
      </w:r>
      <w:r>
        <w:t xml:space="preserve"> </w:t>
      </w:r>
      <w:r>
        <w:rPr>
          <w:iCs/>
          <w:i/>
        </w:rPr>
        <w:t xml:space="preserve">SPE Journal</w:t>
      </w:r>
      <w:r>
        <w:t xml:space="preserve">, Data Science and Engineering</w:t>
      </w:r>
      <w:r>
        <w:t xml:space="preserve"> </w:t>
      </w:r>
      <w:r>
        <w:t xml:space="preserve">Analytics: same venue, same section, same register, human authors, published.</w:t>
      </w:r>
    </w:p>
    <w:bookmarkEnd w:id="20"/>
    <w:bookmarkStart w:id="21" w:name="part-1-text-reuse"/>
    <w:p>
      <w:pPr>
        <w:pStyle w:val="Heading2"/>
      </w:pPr>
      <w:r>
        <w:t xml:space="preserve">Part 1: Text reuse</w:t>
      </w:r>
    </w:p>
    <w:p>
      <w:pPr>
        <w:pStyle w:val="FirstParagraph"/>
      </w:pPr>
      <w:r>
        <w:rPr>
          <w:rStyle w:val="VerbatimChar"/>
        </w:rPr>
        <w:t xml:space="preserve">textcheck.py</w:t>
      </w:r>
      <w:r>
        <w:t xml:space="preserve"> </w:t>
      </w:r>
      <w:r>
        <w:t xml:space="preserve">shingles both documents into overlapping word n-grams after</w:t>
      </w:r>
      <w:r>
        <w:t xml:space="preserve"> </w:t>
      </w:r>
      <w:r>
        <w:t xml:space="preserve">stripping markup, figure and table captions, and reference lists, then measures</w:t>
      </w:r>
      <w:r>
        <w:t xml:space="preserve"> </w:t>
      </w:r>
      <w:r>
        <w:t xml:space="preserve">the share of the manuscript’s n-grams that appear anywhere in the comparison</w:t>
      </w:r>
      <w:r>
        <w:t xml:space="preserve"> </w:t>
      </w:r>
      <w:r>
        <w:t xml:space="preserve">document.</w:t>
      </w:r>
    </w:p>
    <w:p>
      <w:pPr>
        <w:pStyle w:val="BodyText"/>
      </w:pPr>
      <w:r>
        <w:rPr>
          <w:bCs/>
          <w:b/>
        </w:rPr>
        <w:t xml:space="preserve">Against the model paper used for structure (SPE-219771-PA):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n-gram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15,995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15,992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of 15,988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longest shared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Zero at every order, including five words. The paper’s structure, section</w:t>
      </w:r>
      <w:r>
        <w:t xml:space="preserve"> </w:t>
      </w:r>
      <w:r>
        <w:t xml:space="preserve">ordering and caption conventions were learned from that model; none of its</w:t>
      </w:r>
      <w:r>
        <w:t xml:space="preserve"> </w:t>
      </w:r>
      <w:r>
        <w:t xml:space="preserve">sentences were. An earlier pass found one seven-word run,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study</w:t>
      </w:r>
      <w:r>
        <w:rPr>
          <w:iCs/>
          <w:i/>
        </w:rPr>
        <w:t xml:space="preserve"> </w:t>
      </w:r>
      <w:r>
        <w:rPr>
          <w:iCs/>
          <w:i/>
        </w:rPr>
        <w:t xml:space="preserve">contributes in the following ways</w:t>
      </w:r>
      <w:r>
        <w:rPr>
          <w:iCs/>
          <w:i/>
        </w:rPr>
        <w:t xml:space="preserve">”</w:t>
      </w:r>
      <w:r>
        <w:t xml:space="preserve">, generic enough to be unremarkable but easy</w:t>
      </w:r>
      <w:r>
        <w:t xml:space="preserve"> </w:t>
      </w:r>
      <w:r>
        <w:t xml:space="preserve">to remove, and it was removed.</w:t>
      </w:r>
    </w:p>
    <w:p>
      <w:pPr>
        <w:pStyle w:val="BodyText"/>
      </w:pPr>
      <w:r>
        <w:rPr>
          <w:bCs/>
          <w:b/>
        </w:rPr>
        <w:t xml:space="preserve">Against the published literature.</w:t>
      </w:r>
      <w:r>
        <w:t xml:space="preserve"> </w:t>
      </w:r>
      <w:r>
        <w:t xml:space="preserve">Four distinctive phrases from the</w:t>
      </w:r>
      <w:r>
        <w:t xml:space="preserve"> </w:t>
      </w:r>
      <w:r>
        <w:t xml:space="preserve">manuscript and both candidate titles were searched verbatim on the open web. No</w:t>
      </w:r>
      <w:r>
        <w:t xml:space="preserve"> </w:t>
      </w:r>
      <w:r>
        <w:t xml:space="preserve">matches. Neither title is publicly indexed, which also confirms no prior</w:t>
      </w:r>
      <w:r>
        <w:t xml:space="preserve"> </w:t>
      </w:r>
      <w:r>
        <w:t xml:space="preserve">disclosure that would complicate the submission.</w:t>
      </w:r>
    </w:p>
    <w:p>
      <w:pPr>
        <w:pStyle w:val="BodyText"/>
      </w:pPr>
      <w:r>
        <w:rPr>
          <w:bCs/>
          <w:b/>
        </w:rPr>
        <w:t xml:space="preserve">Against our own earlier drafts:</w:t>
      </w:r>
      <w:r>
        <w:t xml:space="preserve"> </w:t>
      </w:r>
      <w:r>
        <w:t xml:space="preserve">43.6% at five grams against v9, 26.3%</w:t>
      </w:r>
      <w:r>
        <w:t xml:space="preserve"> </w:t>
      </w:r>
      <w:r>
        <w:t xml:space="preserve">against v5, 13.7% against v3. This is the expected signature of a document</w:t>
      </w:r>
      <w:r>
        <w:t xml:space="preserve"> </w:t>
      </w:r>
      <w:r>
        <w:t xml:space="preserve">revised in place across ten versions. It is self-overlap, not plagiarism, and no</w:t>
      </w:r>
      <w:r>
        <w:t xml:space="preserve"> </w:t>
      </w:r>
      <w:r>
        <w:t xml:space="preserve">part of any earlier draft was published or submitted. It is reported here only so</w:t>
      </w:r>
      <w:r>
        <w:t xml:space="preserve"> </w:t>
      </w:r>
      <w:r>
        <w:t xml:space="preserve">that a reviewer who runs their own similarity check and sees a hit against a</w:t>
      </w:r>
      <w:r>
        <w:t xml:space="preserve"> </w:t>
      </w:r>
      <w:r>
        <w:t xml:space="preserve">preprint server or a repository copy knows where it comes from.</w:t>
      </w:r>
    </w:p>
    <w:p>
      <w:pPr>
        <w:pStyle w:val="BodyText"/>
      </w:pPr>
      <w:r>
        <w:rPr>
          <w:bCs/>
          <w:b/>
        </w:rPr>
        <w:t xml:space="preserve">What this check cannot see.</w:t>
      </w:r>
      <w:r>
        <w:t xml:space="preserve"> </w:t>
      </w:r>
      <w:r>
        <w:t xml:space="preserve">Subscription similarity services such as</w:t>
      </w:r>
      <w:r>
        <w:t xml:space="preserve"> </w:t>
      </w:r>
      <w:r>
        <w:t xml:space="preserve">iThenticate and Turnitin index paywalled journal content that no open-web search</w:t>
      </w:r>
      <w:r>
        <w:t xml:space="preserve"> </w:t>
      </w:r>
      <w:r>
        <w:t xml:space="preserve">reaches. SPE runs a similarity check on submission. Nothing in the result above</w:t>
      </w:r>
      <w:r>
        <w:t xml:space="preserve"> </w:t>
      </w:r>
      <w:r>
        <w:t xml:space="preserve">predicts what a paywalled corpus will return, though a document with zero</w:t>
      </w:r>
      <w:r>
        <w:t xml:space="preserve"> </w:t>
      </w:r>
      <w:r>
        <w:t xml:space="preserve">five-gram overlap against its own structural model is not a document at risk of a</w:t>
      </w:r>
      <w:r>
        <w:t xml:space="preserve"> </w:t>
      </w:r>
      <w:r>
        <w:t xml:space="preserve">high similarity index.</w:t>
      </w:r>
    </w:p>
    <w:bookmarkEnd w:id="21"/>
    <w:bookmarkStart w:id="22" w:name="part-2-stylometric-comparison"/>
    <w:p>
      <w:pPr>
        <w:pStyle w:val="Heading2"/>
      </w:pPr>
      <w:r>
        <w:t xml:space="preserve">Part 2: Stylometric comparison</w:t>
      </w:r>
    </w:p>
    <w:p>
      <w:pPr>
        <w:pStyle w:val="FirstParagraph"/>
      </w:pPr>
      <w:r>
        <w:rPr>
          <w:rStyle w:val="VerbatimChar"/>
        </w:rPr>
        <w:t xml:space="preserve">stylecheck.py</w:t>
      </w:r>
      <w:r>
        <w:t xml:space="preserve"> </w:t>
      </w:r>
      <w:r>
        <w:t xml:space="preserve">measures fifteen features on prose only: tables, captions,</w:t>
      </w:r>
      <w:r>
        <w:t xml:space="preserve"> </w:t>
      </w:r>
      <w:r>
        <w:t xml:space="preserve">display equations, the keyword line and the abbreviation list are excluded,</w:t>
      </w:r>
      <w:r>
        <w:t xml:space="preserve"> </w:t>
      </w:r>
      <w:r>
        <w:t xml:space="preserve">because those are house style rather than writing.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SPE-219771 (human)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ARXIS v10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ARXIS 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sentence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 length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burstiness (SD/mean)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sentences ≤ 8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sentences ≥ 35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lexical diversity (MATTR)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trigrams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20.72%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hedges per 1k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formulaic connectives per 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commas per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semicolons per 1k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</w:tbl>
    <w:p>
      <w:pPr>
        <w:pStyle w:val="BodyText"/>
      </w:pPr>
      <w:r>
        <w:t xml:space="preserve">Every feature now sits inside the human paper’s neighbourhood or on the safer</w:t>
      </w:r>
      <w:r>
        <w:t xml:space="preserve"> </w:t>
      </w:r>
      <w:r>
        <w:t xml:space="preserve">side of it. Lexical diversity is higher than the human comparator, repeated</w:t>
      </w:r>
      <w:r>
        <w:t xml:space="preserve"> </w:t>
      </w:r>
      <w:r>
        <w:t xml:space="preserve">trigrams lower, formulaic connectives roughly a quarter of the human rate: all of</w:t>
      </w:r>
      <w:r>
        <w:t xml:space="preserve"> </w:t>
      </w:r>
      <w:r>
        <w:t xml:space="preserve">these run opposite to the generated-text signature, which is characterised by</w:t>
      </w:r>
      <w:r>
        <w:t xml:space="preserve"> </w:t>
      </w:r>
      <w:r>
        <w:rPr>
          <w:iCs/>
          <w:i/>
        </w:rPr>
        <w:t xml:space="preserve">low</w:t>
      </w:r>
      <w:r>
        <w:t xml:space="preserve"> </w:t>
      </w:r>
      <w:r>
        <w:t xml:space="preserve">diversity,</w:t>
      </w:r>
      <w:r>
        <w:t xml:space="preserve"> </w:t>
      </w:r>
      <w:r>
        <w:rPr>
          <w:iCs/>
          <w:i/>
        </w:rPr>
        <w:t xml:space="preserve">high</w:t>
      </w:r>
      <w:r>
        <w:t xml:space="preserve"> </w:t>
      </w:r>
      <w:r>
        <w:t xml:space="preserve">trigram repetition and</w:t>
      </w:r>
      <w:r>
        <w:t xml:space="preserve"> </w:t>
      </w:r>
      <w:r>
        <w:rPr>
          <w:iCs/>
          <w:i/>
        </w:rPr>
        <w:t xml:space="preserve">heavy</w:t>
      </w:r>
      <w:r>
        <w:t xml:space="preserve"> </w:t>
      </w:r>
      <w:r>
        <w:t xml:space="preserve">connective scaffolding.</w:t>
      </w:r>
    </w:p>
    <w:p>
      <w:pPr>
        <w:pStyle w:val="BodyText"/>
      </w:pPr>
      <w:r>
        <w:t xml:space="preserve">Three outliers were found in the first pass and three were acted on.</w:t>
      </w:r>
    </w:p>
    <w:p>
      <w:pPr>
        <w:pStyle w:val="BodyText"/>
      </w:pPr>
      <w:r>
        <w:rPr>
          <w:bCs/>
          <w:b/>
        </w:rPr>
        <w:t xml:space="preserve">Semicolons: 8.5 per 1k, against 2.8.</w:t>
      </w:r>
      <w:r>
        <w:t xml:space="preserve"> </w:t>
      </w:r>
      <w:r>
        <w:t xml:space="preserve">Two causes. The measurement counted the</w:t>
      </w:r>
      <w:r>
        <w:t xml:space="preserve"> </w:t>
      </w:r>
      <w:r>
        <w:t xml:space="preserve">semicolons inside</w:t>
      </w:r>
      <w:r>
        <w:t xml:space="preserve"> </w:t>
      </w:r>
      <w:r>
        <w:rPr>
          <w:rStyle w:val="VerbatimChar"/>
        </w:rPr>
        <w:t xml:space="preserve">&amp;nbsp;</w:t>
      </w:r>
      <w:r>
        <w:t xml:space="preserve"> </w:t>
      </w:r>
      <w:r>
        <w:t xml:space="preserve">markup entities, which inflated the figure and has</w:t>
      </w:r>
      <w:r>
        <w:t xml:space="preserve"> </w:t>
      </w:r>
      <w:r>
        <w:t xml:space="preserve">been fixed in the tool. The rest were real, and thirteen prose semicolons were</w:t>
      </w:r>
      <w:r>
        <w:t xml:space="preserve"> </w:t>
      </w:r>
      <w:r>
        <w:t xml:space="preserve">converted to full stops. Table cells, captions, the keyword line, citation</w:t>
      </w:r>
      <w:r>
        <w:t xml:space="preserve"> </w:t>
      </w:r>
      <w:r>
        <w:t xml:space="preserve">separators and enumerations with three or more items were left alone, because</w:t>
      </w:r>
      <w:r>
        <w:t xml:space="preserve"> </w:t>
      </w:r>
      <w:r>
        <w:t xml:space="preserve">those are the house style of the journal. Final: 1.4.</w:t>
      </w:r>
    </w:p>
    <w:p>
      <w:pPr>
        <w:pStyle w:val="BodyText"/>
      </w:pPr>
      <w:r>
        <w:rPr>
          <w:bCs/>
          <w:b/>
        </w:rPr>
        <w:t xml:space="preserve">Long sentences: 20.7% at or above 35 words, against 11.5%.</w:t>
      </w:r>
      <w:r>
        <w:t xml:space="preserve"> </w:t>
      </w:r>
      <w:r>
        <w:t xml:space="preserve">Thirty-seven</w:t>
      </w:r>
      <w:r>
        <w:t xml:space="preserve"> </w:t>
      </w:r>
      <w:r>
        <w:t xml:space="preserve">sentences of 45 words or more were split at their natural joints, which were</w:t>
      </w:r>
      <w:r>
        <w:t xml:space="preserve"> </w:t>
      </w:r>
      <w:r>
        <w:t xml:space="preserve">almost always a colon or a coordinating conjunction carrying two independent</w:t>
      </w:r>
      <w:r>
        <w:t xml:space="preserve"> </w:t>
      </w:r>
      <w:r>
        <w:t xml:space="preserve">clauses. Final: 12.9%.</w:t>
      </w:r>
    </w:p>
    <w:p>
      <w:pPr>
        <w:pStyle w:val="BodyText"/>
      </w:pPr>
      <w:r>
        <w:rPr>
          <w:bCs/>
          <w:b/>
        </w:rPr>
        <w:t xml:space="preserve">Hedges: 5.9 per 1k, against 2.5.</w:t>
      </w:r>
      <w:r>
        <w:t xml:space="preserve"> </w:t>
      </w:r>
      <w:r>
        <w:t xml:space="preserve">Most of the count was the word</w:t>
      </w:r>
      <w:r>
        <w:t xml:space="preserve"> </w:t>
      </w:r>
      <w:r>
        <w:rPr>
          <w:iCs/>
          <w:i/>
        </w:rPr>
        <w:t xml:space="preserve">would</w:t>
      </w:r>
      <w:r>
        <w:t xml:space="preserve">,</w:t>
      </w:r>
      <w:r>
        <w:t xml:space="preserve"> </w:t>
      </w:r>
      <w:r>
        <w:t xml:space="preserve">which in this manuscript is nearly always counterfactual rather than hedging: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</w:t>
      </w:r>
      <w:r>
        <w:rPr>
          <w:iCs/>
          <w:i/>
        </w:rPr>
        <w:t xml:space="preserve"> </w:t>
      </w:r>
      <w:r>
        <w:rPr>
          <w:iCs/>
          <w:i/>
        </w:rPr>
        <w:t xml:space="preserve">failed autoencoder would supply zero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metric set reporting missed-hazard</w:t>
      </w:r>
      <w:r>
        <w:rPr>
          <w:iCs/>
          <w:i/>
        </w:rPr>
        <w:t xml:space="preserve"> </w:t>
      </w:r>
      <w:r>
        <w:rPr>
          <w:iCs/>
          <w:i/>
        </w:rPr>
        <w:t xml:space="preserve">rate alone would rank the support-vector classifier above the reference</w:t>
      </w:r>
      <w:r>
        <w:rPr>
          <w:iCs/>
          <w:i/>
        </w:rPr>
        <w:t xml:space="preserve">”</w:t>
      </w:r>
      <w:r>
        <w:t xml:space="preserve">. That</w:t>
      </w:r>
      <w:r>
        <w:t xml:space="preserve"> </w:t>
      </w:r>
      <w:r>
        <w:t xml:space="preserve">is a conditional, not a hedge, and the fix was to the metric rather than to the</w:t>
      </w:r>
      <w:r>
        <w:t xml:space="preserve"> </w:t>
      </w:r>
      <w:r>
        <w:t xml:space="preserve">paper. Genuine hedging was left in place: this is a safety paper with an</w:t>
      </w:r>
      <w:r>
        <w:t xml:space="preserve"> </w:t>
      </w:r>
      <w:r>
        <w:t xml:space="preserve">eight-item limitations section, and its qualifications are load-bearing.</w:t>
      </w:r>
    </w:p>
    <w:p>
      <w:pPr>
        <w:pStyle w:val="BodyText"/>
      </w:pPr>
      <w:r>
        <w:rPr>
          <w:bCs/>
          <w:b/>
        </w:rPr>
        <w:t xml:space="preserve">One feature moved the wrong way.</w:t>
      </w:r>
      <w:r>
        <w:t xml:space="preserve"> </w:t>
      </w:r>
      <w:r>
        <w:t xml:space="preserve">Burstiness fell from 0.604 to 0.521 against</w:t>
      </w:r>
      <w:r>
        <w:t xml:space="preserve"> </w:t>
      </w:r>
      <w:r>
        <w:t xml:space="preserve">the human paper’s 0.599, because splitting long sentences made lengths more</w:t>
      </w:r>
      <w:r>
        <w:t xml:space="preserve"> </w:t>
      </w:r>
      <w:r>
        <w:t xml:space="preserve">uniform. This is stated rather than corrected. Restoring it would mean</w:t>
      </w:r>
      <w:r>
        <w:t xml:space="preserve"> </w:t>
      </w:r>
      <w:r>
        <w:t xml:space="preserve">re-lengthening sentences that read better short, which is the kind of deliberate</w:t>
      </w:r>
      <w:r>
        <w:t xml:space="preserve"> </w:t>
      </w:r>
      <w:r>
        <w:t xml:space="preserve">degradation your own revision plan ruled out at item 66, and 0.52 is not far</w:t>
      </w:r>
      <w:r>
        <w:t xml:space="preserve"> </w:t>
      </w:r>
      <w:r>
        <w:t xml:space="preserve">enough outside the human range to be worth prose that is worse.</w:t>
      </w:r>
    </w:p>
    <w:bookmarkEnd w:id="22"/>
    <w:bookmarkStart w:id="23" w:name="what-this-does-not-settle"/>
    <w:p>
      <w:pPr>
        <w:pStyle w:val="Heading2"/>
      </w:pPr>
      <w:r>
        <w:t xml:space="preserve">What this does not settle</w:t>
      </w:r>
    </w:p>
    <w:p>
      <w:pPr>
        <w:pStyle w:val="FirstParagraph"/>
      </w:pPr>
      <w:r>
        <w:t xml:space="preserve">Nothing here is a guarantee against a detector returning a high score. Detectors</w:t>
      </w:r>
      <w:r>
        <w:t xml:space="preserve"> </w:t>
      </w:r>
      <w:r>
        <w:t xml:space="preserve">are not calibrated and their outputs are not reproducible between versions. What</w:t>
      </w:r>
      <w:r>
        <w:t xml:space="preserve"> </w:t>
      </w:r>
      <w:r>
        <w:t xml:space="preserve">the audit does establish is narrower and more defensible: the manuscript reuses</w:t>
      </w:r>
      <w:r>
        <w:t xml:space="preserve"> </w:t>
      </w:r>
      <w:r>
        <w:t xml:space="preserve">no text, and on every feature these tools are known to measure it sits with or</w:t>
      </w:r>
      <w:r>
        <w:t xml:space="preserve"> </w:t>
      </w:r>
      <w:r>
        <w:t xml:space="preserve">beyond a published human paper in the same venue. If a score is ever raised</w:t>
      </w:r>
      <w:r>
        <w:t xml:space="preserve"> </w:t>
      </w:r>
      <w:r>
        <w:t xml:space="preserve">against this paper, that is the record to answer it with.</w:t>
      </w:r>
    </w:p>
    <w:bookmarkEnd w:id="23"/>
    <w:bookmarkStart w:id="24" w:name="reproducing-this"/>
    <w:p>
      <w:pPr>
        <w:pStyle w:val="Heading2"/>
      </w:pPr>
      <w:r>
        <w:t xml:space="preserve">Reproducing this</w:t>
      </w:r>
    </w:p>
    <w:p>
      <w:pPr>
        <w:pStyle w:val="FirstParagraph"/>
      </w:pPr>
      <w:r>
        <w:rPr>
          <w:rStyle w:val="VerbatimChar"/>
        </w:rPr>
        <w:t xml:space="preserve">textcheck.py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stylecheck.py</w:t>
      </w:r>
      <w:r>
        <w:t xml:space="preserve"> </w:t>
      </w:r>
      <w:r>
        <w:t xml:space="preserve">ship in</w:t>
      </w:r>
      <w:r>
        <w:t xml:space="preserve"> </w:t>
      </w:r>
      <w:r>
        <w:rPr>
          <w:rStyle w:val="VerbatimChar"/>
        </w:rPr>
        <w:t xml:space="preserve">arxis_v10_artifacts.zip</w:t>
      </w:r>
      <w:r>
        <w:t xml:space="preserve"> </w:t>
      </w:r>
      <w:r>
        <w:t xml:space="preserve">and run on</w:t>
      </w:r>
      <w:r>
        <w:t xml:space="preserve"> </w:t>
      </w:r>
      <w:r>
        <w:t xml:space="preserve">the manuscript source with no arguments. Both are deterministic.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2026-09-11T14:31:05Z</dcterms:created>
  <dcterms:modified xsi:type="dcterms:W3CDTF">2026-09-11T14:31:05Z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