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DCRA Implementation Status and Benchmark Alignment</w:t>
      </w:r>
    </w:p>
    <w:p>
      <w:pPr>
        <w:pStyle w:val="Subtitle"/>
      </w:pPr>
      <w:r>
        <w:t>Update for the authors of Benchmark Specification v2</w:t>
      </w:r>
    </w:p>
    <w:p>
      <w:r>
        <w:t>6 October 2026</w:t>
      </w:r>
    </w:p>
    <w:p>
      <w:pPr>
        <w:pStyle w:val="Heading1"/>
      </w:pPr>
      <w:r>
        <w:t>Purpose and requested update</w:t>
      </w:r>
    </w:p>
    <w:p>
      <w:r>
        <w:t>We have completed the software implementation through the Week 5 communication-fault pilot. Please update the benchmark specification to reflect this implementation, preserve the meaning of existing results, and identify the additional experiments needed for the final research campaign.</w:t>
      </w:r>
    </w:p>
    <w:p>
      <w:r>
        <w:t>The benchmark provides a useful research direction. Its implementation inventory, comparison-system definitions and some metric formulas differ from the current repository. This document explains those differences so we can agree on a consistent next version.</w:t>
      </w:r>
    </w:p>
    <w:p>
      <w:pPr>
        <w:pStyle w:val="Heading1"/>
      </w:pPr>
      <w:r>
        <w:t>What our system does</w:t>
      </w:r>
    </w:p>
    <w:p>
      <w:r>
        <w:t>Dependency-Closed Runtime Assurance (DCRA) checks whether an action still has enough current supporting information to proceed. Support can change after a plan is created, while a command is waiting, or during execution. The system tracks those changes and checks the requirements for each action separately.</w:t>
      </w:r>
    </w:p>
    <w:p>
      <w:r>
        <w:t>For example, two working sensors may be enough to justify starting a fan. Releasing fire suppressant also requires evidence that the room is empty. If occupancy information expires, the system can block suppressant commitment while allowing an already-running fan to continue when its own running requirements remain satisfied.</w:t>
      </w:r>
    </w:p>
    <w:p>
      <w:r>
        <w:t>A command being sent or acknowledged is not proof of success. An action is completed only when correlated results and required outcome evidence support that conclusion.</w:t>
      </w:r>
    </w:p>
    <w:p>
      <w:pPr>
        <w:pStyle w:val="Heading1"/>
      </w:pPr>
      <w:r>
        <w:t>Current operating boundary</w:t>
      </w:r>
    </w:p>
    <w:p>
      <w:r>
        <w:t>The implementation is a Rust library and deterministic software simulator. It uses a virtual clock, a discrete building model, a scripted planner, simulated communication faults and a fake actuator. It does not operate real building equipment. AI planners, real distributed networking and hardware validation remain planned work.</w:t>
      </w:r>
    </w:p>
    <w:p>
      <w:r>
        <w:t>The planner proposes actions. The runtime determines their authority using trusted, configured requirements. This separation is already part of the design and should remain explicit in the revised benchmark.</w:t>
      </w:r>
    </w:p>
    <w:p>
      <w:r>
        <w:br w:type="page"/>
      </w:r>
    </w:p>
    <w:p>
      <w:pPr>
        <w:pStyle w:val="Heading1"/>
      </w:pPr>
      <w:r>
        <w:t>What we have implemented</w:t>
      </w:r>
    </w:p>
    <w:p>
      <w:r>
        <w:t>The following features are present in the repository. The benchmark should mark them as implemented in software and request extensions or additional evaluation where appropriate.</w:t>
      </w:r>
    </w:p>
    <w:tbl>
      <w:tblPr>
        <w:tblW w:type="auto" w:w="0"/>
        <w:jc w:val="center"/>
        <w:tblLayout w:type="fixed"/>
        <w:tblLook w:firstColumn="1" w:firstRow="1" w:lastColumn="0" w:lastRow="0" w:noHBand="0" w:noVBand="1" w:val="04A0"/>
      </w:tblPr>
      <w:tblGrid>
        <w:gridCol w:w="2160"/>
        <w:gridCol w:w="7632"/>
      </w:tblGrid>
      <w:tr>
        <w:trPr>
          <w:cantSplit/>
          <w:tblHeader/>
        </w:trPr>
        <w:tc>
          <w:tcPr>
            <w:tcW w:type="dxa" w:w="2160"/>
            <w:vAlign w:val="center"/>
            <w:shd w:fill="DDE6EE"/>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sz w:val="20"/>
              </w:rPr>
              <w:t>Area</w:t>
            </w:r>
          </w:p>
        </w:tc>
        <w:tc>
          <w:tcPr>
            <w:tcW w:type="dxa" w:w="7632"/>
            <w:vAlign w:val="center"/>
            <w:shd w:fill="DDE6EE"/>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sz w:val="20"/>
              </w:rPr>
              <w:t>Implemented behavior</w:t>
            </w:r>
          </w:p>
        </w:tc>
      </w:tr>
      <w:tr>
        <w:trPr>
          <w:cantSplit/>
        </w:trPr>
        <w:tc>
          <w:tcPr>
            <w:tcW w:type="dxa" w:w="2160"/>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val="0"/>
                <w:sz w:val="20"/>
              </w:rPr>
              <w:t>Evidence and time</w:t>
            </w:r>
          </w:p>
        </w:tc>
        <w:tc>
          <w:tcPr>
            <w:tcW w:type="dxa" w:w="763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val="0"/>
                <w:sz w:val="20"/>
              </w:rPr>
              <w:t>VALID, UNKNOWN and INVALID evidence; source metadata, versions, observation times and expiry. Expiry is processed without requiring a new sensor message.</w:t>
            </w:r>
          </w:p>
        </w:tc>
      </w:tr>
      <w:tr>
        <w:trPr>
          <w:cantSplit/>
        </w:trPr>
        <w:tc>
          <w:tcPr>
            <w:tcW w:type="dxa" w:w="2160"/>
            <w:vAlign w:val="center"/>
            <w:shd w:fill="F5F7FA"/>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val="0"/>
                <w:sz w:val="20"/>
              </w:rPr>
              <w:t>Dependency graph</w:t>
            </w:r>
          </w:p>
        </w:tc>
        <w:tc>
          <w:tcPr>
            <w:tcW w:type="dxa" w:w="7632"/>
            <w:vAlign w:val="center"/>
            <w:shd w:fill="F5F7FA"/>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val="0"/>
                <w:sz w:val="20"/>
              </w:rPr>
              <w:t>Validated directed acyclic graph with AND, OR and threshold support. Conclusions retain a preferred supporting witness and its expiry horizon.</w:t>
            </w:r>
          </w:p>
        </w:tc>
      </w:tr>
      <w:tr>
        <w:trPr>
          <w:cantSplit/>
        </w:trPr>
        <w:tc>
          <w:tcPr>
            <w:tcW w:type="dxa" w:w="2160"/>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val="0"/>
                <w:sz w:val="20"/>
              </w:rPr>
              <w:t>Evaluation</w:t>
            </w:r>
          </w:p>
        </w:tc>
        <w:tc>
          <w:tcPr>
            <w:tcW w:type="dxa" w:w="763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val="0"/>
                <w:sz w:val="20"/>
              </w:rPr>
              <w:t>Full reference evaluation and incremental updates through affected dependencies. Small graphs are also checked by an independent exhaustive witness oracle.</w:t>
            </w:r>
          </w:p>
        </w:tc>
      </w:tr>
      <w:tr>
        <w:trPr>
          <w:cantSplit/>
        </w:trPr>
        <w:tc>
          <w:tcPr>
            <w:tcW w:type="dxa" w:w="2160"/>
            <w:vAlign w:val="center"/>
            <w:shd w:fill="F5F7FA"/>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val="0"/>
                <w:sz w:val="20"/>
              </w:rPr>
              <w:t>Execution authority</w:t>
            </w:r>
          </w:p>
        </w:tc>
        <w:tc>
          <w:tcPr>
            <w:tcW w:type="dxa" w:w="7632"/>
            <w:vAlign w:val="center"/>
            <w:shd w:fill="F5F7FA"/>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val="0"/>
                <w:sz w:val="20"/>
              </w:rPr>
              <w:t>Temporary single-use leases bound to plan and selected evidence versions. Dispatch rechecks authority, time and lifecycle state.</w:t>
            </w:r>
          </w:p>
        </w:tc>
      </w:tr>
      <w:tr>
        <w:trPr>
          <w:cantSplit/>
        </w:trPr>
        <w:tc>
          <w:tcPr>
            <w:tcW w:type="dxa" w:w="2160"/>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val="0"/>
                <w:sz w:val="20"/>
              </w:rPr>
              <w:t>Action phases</w:t>
            </w:r>
          </w:p>
        </w:tc>
        <w:tc>
          <w:tcPr>
            <w:tcW w:type="dxa" w:w="763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val="0"/>
                <w:sz w:val="20"/>
              </w:rPr>
              <w:t>Separate START, RUN, COMMIT and OUTCOME requirements; recovery requests, duration limits and correlated outcome processing.</w:t>
            </w:r>
          </w:p>
        </w:tc>
      </w:tr>
      <w:tr>
        <w:trPr>
          <w:cantSplit/>
        </w:trPr>
        <w:tc>
          <w:tcPr>
            <w:tcW w:type="dxa" w:w="2160"/>
            <w:vAlign w:val="center"/>
            <w:shd w:fill="F5F7FA"/>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val="0"/>
                <w:sz w:val="20"/>
              </w:rPr>
              <w:t>Building simulation</w:t>
            </w:r>
          </w:p>
        </w:tc>
        <w:tc>
          <w:tcPr>
            <w:tcW w:type="dxa" w:w="7632"/>
            <w:vAlign w:val="center"/>
            <w:shd w:fill="F5F7FA"/>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val="0"/>
                <w:sz w:val="20"/>
              </w:rPr>
              <w:t>Plant truth separated from delivered observations; physical admissibility checks use observations. Truth is available separately for experiment scoring.</w:t>
            </w:r>
          </w:p>
        </w:tc>
      </w:tr>
      <w:tr>
        <w:trPr>
          <w:cantSplit/>
        </w:trPr>
        <w:tc>
          <w:tcPr>
            <w:tcW w:type="dxa" w:w="2160"/>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val="0"/>
                <w:sz w:val="20"/>
              </w:rPr>
              <w:t>Joint scheduling</w:t>
            </w:r>
          </w:p>
        </w:tc>
        <w:tc>
          <w:tcPr>
            <w:tcW w:type="dxa" w:w="763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val="0"/>
                <w:sz w:val="20"/>
              </w:rPr>
              <w:t>Compatibility checks and a deterministic inclusion-maximal action subset. This is not an optimizer for maximum action count or utility.</w:t>
            </w:r>
          </w:p>
        </w:tc>
      </w:tr>
      <w:tr>
        <w:trPr>
          <w:cantSplit/>
        </w:trPr>
        <w:tc>
          <w:tcPr>
            <w:tcW w:type="dxa" w:w="2160"/>
            <w:vAlign w:val="center"/>
            <w:shd w:fill="F5F7FA"/>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val="0"/>
                <w:sz w:val="20"/>
              </w:rPr>
              <w:t>Communication faults</w:t>
            </w:r>
          </w:p>
        </w:tc>
        <w:tc>
          <w:tcPr>
            <w:tcW w:type="dxa" w:w="7632"/>
            <w:vAlign w:val="center"/>
            <w:shd w:fill="F5F7FA"/>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val="0"/>
                <w:sz w:val="20"/>
              </w:rPr>
              <w:t>Virtual delay, jitter, loss, duplication, reordering and partitions across observations, authority requests, commands and results.</w:t>
            </w:r>
          </w:p>
        </w:tc>
      </w:tr>
      <w:tr>
        <w:trPr>
          <w:cantSplit/>
        </w:trPr>
        <w:tc>
          <w:tcPr>
            <w:tcW w:type="dxa" w:w="2160"/>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val="0"/>
                <w:sz w:val="20"/>
              </w:rPr>
              <w:t>Experiment records</w:t>
            </w:r>
          </w:p>
        </w:tc>
        <w:tc>
          <w:tcPr>
            <w:tcW w:type="dxa" w:w="763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val="0"/>
                <w:sz w:val="20"/>
              </w:rPr>
              <w:t>B0-B5 pilot policies, metrics, workload timings, event and transport records, source/configuration fingerprints, manifests and replay.</w:t>
            </w:r>
          </w:p>
        </w:tc>
      </w:tr>
    </w:tbl>
    <w:p>
      <w:pPr>
        <w:spacing w:after="0"/>
      </w:pPr>
    </w:p>
    <w:p>
      <w:pPr>
        <w:pStyle w:val="Heading2"/>
      </w:pPr>
      <w:r>
        <w:t>An important physical boundary</w:t>
      </w:r>
    </w:p>
    <w:p>
      <w:r>
        <w:t>Cancelling authority in the runtime cannot instantly stop a command already in transit. The simulated device learns about recovery when the recovery command arrives. The delayed-controller experiment explicitly records a missed reaction deadline despite fast local computation.</w:t>
      </w:r>
    </w:p>
    <w:p>
      <w:r>
        <w:br w:type="page"/>
      </w:r>
    </w:p>
    <w:p>
      <w:pPr>
        <w:pStyle w:val="Heading1"/>
      </w:pPr>
      <w:r>
        <w:t>What the saved pilot has shown</w:t>
      </w:r>
    </w:p>
    <w:p>
      <w:r>
        <w:t>The completed Week 5 pilot contains 210 experiments, including 180 matched runs across six policies, five scenarios, three network profiles and two seeds. The saved verification records 95 passing Rust tests, one intentionally ignored manual replay test, 15 prerequisite gate rows and 14 communication checks. Four headline manifest replays matched their semantic outputs.</w:t>
      </w:r>
    </w:p>
    <w:p>
      <w:r>
        <w:t>These figures describe the saved campaign. They are not new measurements taken for this update.</w:t>
      </w:r>
    </w:p>
    <w:p>
      <w:pPr>
        <w:pStyle w:val="Heading2"/>
      </w:pPr>
      <w:r>
        <w:t>Safety and completion must be read together</w:t>
      </w:r>
    </w:p>
    <w:tbl>
      <w:tblPr>
        <w:tblW w:type="auto" w:w="0"/>
        <w:jc w:val="center"/>
        <w:tblLayout w:type="fixed"/>
        <w:tblLook w:firstColumn="1" w:firstRow="1" w:lastColumn="0" w:lastRow="0" w:noHBand="0" w:noVBand="1" w:val="04A0"/>
      </w:tblPr>
      <w:tblGrid>
        <w:gridCol w:w="3888"/>
        <w:gridCol w:w="2664"/>
        <w:gridCol w:w="3240"/>
      </w:tblGrid>
      <w:tr>
        <w:trPr>
          <w:cantSplit/>
          <w:tblHeader/>
        </w:trPr>
        <w:tc>
          <w:tcPr>
            <w:tcW w:type="dxa" w:w="3888"/>
            <w:vAlign w:val="center"/>
            <w:shd w:fill="DDE6EE"/>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sz w:val="20"/>
              </w:rPr>
              <w:t>Compound network policy</w:t>
            </w:r>
          </w:p>
        </w:tc>
        <w:tc>
          <w:tcPr>
            <w:tcW w:type="dxa" w:w="2664"/>
            <w:vAlign w:val="center"/>
            <w:shd w:fill="DDE6EE"/>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sz w:val="20"/>
              </w:rPr>
              <w:t>False-safe releases / releases</w:t>
            </w:r>
          </w:p>
        </w:tc>
        <w:tc>
          <w:tcPr>
            <w:tcW w:type="dxa" w:w="3240"/>
            <w:vAlign w:val="center"/>
            <w:shd w:fill="DDE6EE"/>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sz w:val="20"/>
              </w:rPr>
              <w:t>Completed actions / planned actions</w:t>
            </w:r>
          </w:p>
        </w:tc>
      </w:tr>
      <w:tr>
        <w:trPr>
          <w:cantSplit/>
        </w:trPr>
        <w:tc>
          <w:tcPr>
            <w:tcW w:type="dxa" w:w="38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val="0"/>
                <w:sz w:val="20"/>
              </w:rPr>
              <w:t>B0 unrestricted admission</w:t>
            </w:r>
          </w:p>
        </w:tc>
        <w:tc>
          <w:tcPr>
            <w:tcW w:type="dxa" w:w="2664"/>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val="0"/>
                <w:sz w:val="20"/>
              </w:rPr>
              <w:t>8 / 26</w:t>
            </w:r>
          </w:p>
        </w:tc>
        <w:tc>
          <w:tcPr>
            <w:tcW w:type="dxa" w:w="3240"/>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val="0"/>
                <w:sz w:val="20"/>
              </w:rPr>
              <w:t>14 / 26</w:t>
            </w:r>
          </w:p>
        </w:tc>
      </w:tr>
      <w:tr>
        <w:trPr>
          <w:cantSplit/>
        </w:trPr>
        <w:tc>
          <w:tcPr>
            <w:tcW w:type="dxa" w:w="3888"/>
            <w:vAlign w:val="center"/>
            <w:shd w:fill="F5F7FA"/>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val="0"/>
                <w:sz w:val="20"/>
              </w:rPr>
              <w:t>B2 conjunctive dependency policy</w:t>
            </w:r>
          </w:p>
        </w:tc>
        <w:tc>
          <w:tcPr>
            <w:tcW w:type="dxa" w:w="2664"/>
            <w:vAlign w:val="center"/>
            <w:shd w:fill="F5F7FA"/>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val="0"/>
                <w:sz w:val="20"/>
              </w:rPr>
              <w:t>0 / 7</w:t>
            </w:r>
          </w:p>
        </w:tc>
        <w:tc>
          <w:tcPr>
            <w:tcW w:type="dxa" w:w="3240"/>
            <w:vAlign w:val="center"/>
            <w:shd w:fill="F5F7FA"/>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val="0"/>
                <w:sz w:val="20"/>
              </w:rPr>
              <w:t>2 / 26</w:t>
            </w:r>
          </w:p>
        </w:tc>
      </w:tr>
      <w:tr>
        <w:trPr>
          <w:cantSplit/>
        </w:trPr>
        <w:tc>
          <w:tcPr>
            <w:tcW w:type="dxa" w:w="38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val="0"/>
                <w:sz w:val="20"/>
              </w:rPr>
              <w:t>B3 global critical-sensor gate</w:t>
            </w:r>
          </w:p>
        </w:tc>
        <w:tc>
          <w:tcPr>
            <w:tcW w:type="dxa" w:w="2664"/>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val="0"/>
                <w:sz w:val="20"/>
              </w:rPr>
              <w:t>0 / 5</w:t>
            </w:r>
          </w:p>
        </w:tc>
        <w:tc>
          <w:tcPr>
            <w:tcW w:type="dxa" w:w="3240"/>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val="0"/>
                <w:sz w:val="20"/>
              </w:rPr>
              <w:t>3 / 26</w:t>
            </w:r>
          </w:p>
        </w:tc>
      </w:tr>
      <w:tr>
        <w:trPr>
          <w:cantSplit/>
        </w:trPr>
        <w:tc>
          <w:tcPr>
            <w:tcW w:type="dxa" w:w="3888"/>
            <w:vAlign w:val="center"/>
            <w:shd w:fill="F5F7FA"/>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val="0"/>
                <w:sz w:val="20"/>
              </w:rPr>
              <w:t>B4 physical check at start</w:t>
            </w:r>
          </w:p>
        </w:tc>
        <w:tc>
          <w:tcPr>
            <w:tcW w:type="dxa" w:w="2664"/>
            <w:vAlign w:val="center"/>
            <w:shd w:fill="F5F7FA"/>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val="0"/>
                <w:sz w:val="20"/>
              </w:rPr>
              <w:t>5 / 22</w:t>
            </w:r>
          </w:p>
        </w:tc>
        <w:tc>
          <w:tcPr>
            <w:tcW w:type="dxa" w:w="3240"/>
            <w:vAlign w:val="center"/>
            <w:shd w:fill="F5F7FA"/>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val="0"/>
                <w:sz w:val="20"/>
              </w:rPr>
              <w:t>14 / 26</w:t>
            </w:r>
          </w:p>
        </w:tc>
      </w:tr>
      <w:tr>
        <w:trPr>
          <w:cantSplit/>
        </w:trPr>
        <w:tc>
          <w:tcPr>
            <w:tcW w:type="dxa" w:w="38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val="0"/>
                <w:sz w:val="20"/>
              </w:rPr>
              <w:t>B5 DCRA</w:t>
            </w:r>
          </w:p>
        </w:tc>
        <w:tc>
          <w:tcPr>
            <w:tcW w:type="dxa" w:w="2664"/>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val="0"/>
                <w:sz w:val="20"/>
              </w:rPr>
              <w:t>0 / 15</w:t>
            </w:r>
          </w:p>
        </w:tc>
        <w:tc>
          <w:tcPr>
            <w:tcW w:type="dxa" w:w="3240"/>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val="0"/>
                <w:sz w:val="20"/>
              </w:rPr>
              <w:t>8 / 26</w:t>
            </w:r>
          </w:p>
        </w:tc>
      </w:tr>
    </w:tbl>
    <w:p>
      <w:pPr>
        <w:spacing w:after="0"/>
      </w:pPr>
    </w:p>
    <w:p>
      <w:r>
        <w:t>The table uses existing repository policy IDs and the existing release-based metric. Across all 30 matched B5 runs, B5 recorded 0 false-safe releases out of 63 releases. With reliable communication, B5 and B3 both completed 20 of 26 actions with zero false-safe releases.</w:t>
      </w:r>
    </w:p>
    <w:p>
      <w:r>
        <w:t>B5 sometimes completes less work. Some blocked actions are the intended response to missing support; other cases expose availability costs from repeated lease renewal, lost commands or unconfirmed outcomes. The findings retain ties and adverse comparisons rather than selecting only favorable examples.</w:t>
      </w:r>
    </w:p>
    <w:p>
      <w:pPr>
        <w:pStyle w:val="Heading2"/>
      </w:pPr>
      <w:r>
        <w:t>Processing measurements</w:t>
      </w:r>
    </w:p>
    <w:p>
      <w:r>
        <w:t>At the largest tested graph, 1537 nodes, p95 evaluator time was approximately 2.037 ms for full evaluation and 0.518 ms for incremental evaluation. The largest evaluator sample was approximately 2.358 ms. The largest sum of separate local propagation, lease-issuance and dispatch maxima was approximately 0.137 ms.</w:t>
      </w:r>
    </w:p>
    <w:p>
      <w:r>
        <w:t>These host measurements passed the declared 50 ms pilot screen. They exclude initialization and several surrounding costs, use a fixed full-before-incremental measurement order, and do not establish a real-time or Raspberry Pi timing guarantee. Network delays use simulated time and can still cause missed deadlines.</w:t>
      </w:r>
    </w:p>
    <w:p>
      <w:pPr>
        <w:pStyle w:val="Heading2"/>
      </w:pPr>
      <w:r>
        <w:t>What we can conclude now</w:t>
      </w:r>
    </w:p>
    <w:p>
      <w:r>
        <w:t>The pilot supports agreement with the reference semantics, specific behavioral differences and feasibility within its declared host-processing screen. It does not establish statistical superiority, universal safety, hardware readiness or containment across AI planners.</w:t>
      </w:r>
    </w:p>
    <w:p>
      <w:r>
        <w:br w:type="page"/>
      </w:r>
    </w:p>
    <w:p>
      <w:pPr>
        <w:pStyle w:val="Heading1"/>
      </w:pPr>
      <w:r>
        <w:t>Comparison systems need explicit versioning</w:t>
      </w:r>
    </w:p>
    <w:p>
      <w:r>
        <w:t>Section 7 of benchmark v2 changes the B2-B4 definitions. Existing logs must retain their original meaning. Please add a baseline scheme version and a descriptive policy name to new specifications and manifests.</w:t>
      </w:r>
    </w:p>
    <w:tbl>
      <w:tblPr>
        <w:tblW w:type="auto" w:w="0"/>
        <w:jc w:val="center"/>
        <w:tblLayout w:type="fixed"/>
        <w:tblLook w:firstColumn="1" w:firstRow="1" w:lastColumn="0" w:lastRow="0" w:noHBand="0" w:noVBand="1" w:val="04A0"/>
      </w:tblPr>
      <w:tblGrid>
        <w:gridCol w:w="576"/>
        <w:gridCol w:w="4824"/>
        <w:gridCol w:w="4392"/>
      </w:tblGrid>
      <w:tr>
        <w:trPr>
          <w:cantSplit/>
          <w:tblHeader/>
        </w:trPr>
        <w:tc>
          <w:tcPr>
            <w:tcW w:type="dxa" w:w="576"/>
            <w:vAlign w:val="center"/>
            <w:shd w:fill="DDE6EE"/>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sz w:val="20"/>
              </w:rPr>
              <w:t>ID</w:t>
            </w:r>
          </w:p>
        </w:tc>
        <w:tc>
          <w:tcPr>
            <w:tcW w:type="dxa" w:w="4824"/>
            <w:vAlign w:val="center"/>
            <w:shd w:fill="DDE6EE"/>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sz w:val="20"/>
              </w:rPr>
              <w:t>Current repository</w:t>
            </w:r>
          </w:p>
        </w:tc>
        <w:tc>
          <w:tcPr>
            <w:tcW w:type="dxa" w:w="4392"/>
            <w:vAlign w:val="center"/>
            <w:shd w:fill="DDE6EE"/>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sz w:val="20"/>
              </w:rPr>
              <w:t>Benchmark v2 target</w:t>
            </w:r>
          </w:p>
        </w:tc>
      </w:tr>
      <w:tr>
        <w:trPr>
          <w:cantSplit/>
        </w:trPr>
        <w:tc>
          <w:tcPr>
            <w:tcW w:type="dxa" w:w="57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val="0"/>
                <w:sz w:val="20"/>
              </w:rPr>
              <w:t>B0</w:t>
            </w:r>
          </w:p>
        </w:tc>
        <w:tc>
          <w:tcPr>
            <w:tcW w:type="dxa" w:w="4824"/>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val="0"/>
                <w:sz w:val="20"/>
              </w:rPr>
              <w:t>Unrestricted admission within the common execution harness</w:t>
            </w:r>
          </w:p>
        </w:tc>
        <w:tc>
          <w:tcPr>
            <w:tcW w:type="dxa" w:w="43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val="0"/>
                <w:sz w:val="20"/>
              </w:rPr>
              <w:t>Unrestricted agent</w:t>
            </w:r>
          </w:p>
        </w:tc>
      </w:tr>
      <w:tr>
        <w:trPr>
          <w:cantSplit/>
        </w:trPr>
        <w:tc>
          <w:tcPr>
            <w:tcW w:type="dxa" w:w="576"/>
            <w:vAlign w:val="center"/>
            <w:shd w:fill="F5F7FA"/>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val="0"/>
                <w:sz w:val="20"/>
              </w:rPr>
              <w:t>B1</w:t>
            </w:r>
          </w:p>
        </w:tc>
        <w:tc>
          <w:tcPr>
            <w:tcW w:type="dxa" w:w="4824"/>
            <w:vAlign w:val="center"/>
            <w:shd w:fill="F5F7FA"/>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val="0"/>
                <w:sz w:val="20"/>
              </w:rPr>
              <w:t>Static permission</w:t>
            </w:r>
          </w:p>
        </w:tc>
        <w:tc>
          <w:tcPr>
            <w:tcW w:type="dxa" w:w="4392"/>
            <w:vAlign w:val="center"/>
            <w:shd w:fill="F5F7FA"/>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val="0"/>
                <w:sz w:val="20"/>
              </w:rPr>
              <w:t>Static policy gate</w:t>
            </w:r>
          </w:p>
        </w:tc>
      </w:tr>
      <w:tr>
        <w:trPr>
          <w:cantSplit/>
        </w:trPr>
        <w:tc>
          <w:tcPr>
            <w:tcW w:type="dxa" w:w="57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val="0"/>
                <w:sz w:val="20"/>
              </w:rPr>
              <w:t>B2</w:t>
            </w:r>
          </w:p>
        </w:tc>
        <w:tc>
          <w:tcPr>
            <w:tcW w:type="dxa" w:w="4824"/>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val="0"/>
                <w:sz w:val="20"/>
              </w:rPr>
              <w:t>Conjunctive support; start requirements also remain running requirements</w:t>
            </w:r>
          </w:p>
        </w:tc>
        <w:tc>
          <w:tcPr>
            <w:tcW w:type="dxa" w:w="43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val="0"/>
                <w:sz w:val="20"/>
              </w:rPr>
              <w:t>One-time consequence gate</w:t>
            </w:r>
          </w:p>
        </w:tc>
      </w:tr>
      <w:tr>
        <w:trPr>
          <w:cantSplit/>
        </w:trPr>
        <w:tc>
          <w:tcPr>
            <w:tcW w:type="dxa" w:w="576"/>
            <w:vAlign w:val="center"/>
            <w:shd w:fill="F5F7FA"/>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val="0"/>
                <w:sz w:val="20"/>
              </w:rPr>
              <w:t>B3</w:t>
            </w:r>
          </w:p>
        </w:tc>
        <w:tc>
          <w:tcPr>
            <w:tcW w:type="dxa" w:w="4824"/>
            <w:vAlign w:val="center"/>
            <w:shd w:fill="F5F7FA"/>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val="0"/>
                <w:sz w:val="20"/>
              </w:rPr>
              <w:t>Global critical-sensor gate for pending starts and commits</w:t>
            </w:r>
          </w:p>
        </w:tc>
        <w:tc>
          <w:tcPr>
            <w:tcW w:type="dxa" w:w="4392"/>
            <w:vAlign w:val="center"/>
            <w:shd w:fill="F5F7FA"/>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val="0"/>
                <w:sz w:val="20"/>
              </w:rPr>
              <w:t>Direct or flat dependency monitor</w:t>
            </w:r>
          </w:p>
        </w:tc>
      </w:tr>
      <w:tr>
        <w:trPr>
          <w:cantSplit/>
        </w:trPr>
        <w:tc>
          <w:tcPr>
            <w:tcW w:type="dxa" w:w="57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val="0"/>
                <w:sz w:val="20"/>
              </w:rPr>
              <w:t>B4</w:t>
            </w:r>
          </w:p>
        </w:tc>
        <w:tc>
          <w:tcPr>
            <w:tcW w:type="dxa" w:w="4824"/>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val="0"/>
                <w:sz w:val="20"/>
              </w:rPr>
              <w:t>Physical admissibility at start; no running monitor or physical commit recheck</w:t>
            </w:r>
          </w:p>
        </w:tc>
        <w:tc>
          <w:tcPr>
            <w:tcW w:type="dxa" w:w="43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val="0"/>
                <w:sz w:val="20"/>
              </w:rPr>
              <w:t>Global fail-closed</w:t>
            </w:r>
          </w:p>
        </w:tc>
      </w:tr>
      <w:tr>
        <w:trPr>
          <w:cantSplit/>
        </w:trPr>
        <w:tc>
          <w:tcPr>
            <w:tcW w:type="dxa" w:w="576"/>
            <w:vAlign w:val="center"/>
            <w:shd w:fill="F5F7FA"/>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val="0"/>
                <w:sz w:val="20"/>
              </w:rPr>
              <w:t>B5</w:t>
            </w:r>
          </w:p>
        </w:tc>
        <w:tc>
          <w:tcPr>
            <w:tcW w:type="dxa" w:w="4824"/>
            <w:vAlign w:val="center"/>
            <w:shd w:fill="F5F7FA"/>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val="0"/>
                <w:sz w:val="20"/>
              </w:rPr>
              <w:t>DCRA with witnesses, phase requirements and leases</w:t>
            </w:r>
          </w:p>
        </w:tc>
        <w:tc>
          <w:tcPr>
            <w:tcW w:type="dxa" w:w="4392"/>
            <w:vAlign w:val="center"/>
            <w:shd w:fill="F5F7FA"/>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val="0"/>
                <w:sz w:val="20"/>
              </w:rPr>
              <w:t>DCRA</w:t>
            </w:r>
          </w:p>
        </w:tc>
      </w:tr>
    </w:tbl>
    <w:p>
      <w:pPr>
        <w:spacing w:after="0"/>
      </w:pPr>
    </w:p>
    <w:p>
      <w:r>
        <w:t>Current B4 is closest to the proposed B2 role. Current B3 is closest to proposed B4, but the revised specification must clarify its treatment of already-running actions. Current B2 is not an exact substitute for proposed B3; the intended direct-dependency comparator needs a separate definition and validation.</w:t>
      </w:r>
    </w:p>
    <w:p>
      <w:pPr>
        <w:pStyle w:val="Heading2"/>
      </w:pPr>
      <w:r>
        <w:t>Avoid hiding the mechanism being measured</w:t>
      </w:r>
    </w:p>
    <w:p>
      <w:r>
        <w:t>All current policies share stale-authority rejection at the execution gateway. This makes the pilot useful for comparing admission policies under common transport protections. It cannot, by itself, show the advantage of stale-authority rejection over a policy that lacks that protection.</w:t>
      </w:r>
    </w:p>
    <w:p>
      <w:r>
        <w:t>Please distinguish common-protection policy comparisons from controlled feature-removal experiments. For the latter, a simulation variant can remove evidence/version revalidation while preserving command identity, result correlation and device idempotence. The gateway must enforce each comparator's declared policy.</w:t>
      </w:r>
    </w:p>
    <w:p>
      <w:pPr>
        <w:pStyle w:val="Heading2"/>
      </w:pPr>
      <w:r>
        <w:t>Scenario IDs also changed</w:t>
      </w:r>
    </w:p>
    <w:p>
      <w:r>
        <w:t>The repository's S1-S5 and benchmark v2's S0-S17 do not have the same meanings. Use versioned or descriptive scenario IDs and a mapping table. For closed-loop comparisons, match starting conditions, external faults and policy-independent randomness; physical effects and actuator-generated observations will differ when policies choose different actions.</w:t>
      </w:r>
    </w:p>
    <w:p>
      <w:r>
        <w:br w:type="page"/>
      </w:r>
    </w:p>
    <w:p>
      <w:pPr>
        <w:pStyle w:val="Heading1"/>
      </w:pPr>
      <w:r>
        <w:t>Metric definitions need reconciliation</w:t>
      </w:r>
    </w:p>
    <w:p>
      <w:r>
        <w:t>Please preserve the pilot formulas and introduce new endpoint names or a metric schema version for revised formulas. Every rate should retain its numerator and denominator, including zero-denominator cases.</w:t>
      </w:r>
    </w:p>
    <w:tbl>
      <w:tblPr>
        <w:tblW w:type="auto" w:w="0"/>
        <w:jc w:val="center"/>
        <w:tblLayout w:type="fixed"/>
        <w:tblLook w:firstColumn="1" w:firstRow="1" w:lastColumn="0" w:lastRow="0" w:noHBand="0" w:noVBand="1" w:val="04A0"/>
      </w:tblPr>
      <w:tblGrid>
        <w:gridCol w:w="2088"/>
        <w:gridCol w:w="3816"/>
        <w:gridCol w:w="3888"/>
      </w:tblGrid>
      <w:tr>
        <w:trPr>
          <w:cantSplit/>
          <w:tblHeader/>
        </w:trPr>
        <w:tc>
          <w:tcPr>
            <w:tcW w:type="dxa" w:w="2088"/>
            <w:vAlign w:val="center"/>
            <w:shd w:fill="DDE6EE"/>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sz w:val="20"/>
              </w:rPr>
              <w:t>Metric</w:t>
            </w:r>
          </w:p>
        </w:tc>
        <w:tc>
          <w:tcPr>
            <w:tcW w:type="dxa" w:w="3816"/>
            <w:vAlign w:val="center"/>
            <w:shd w:fill="DDE6EE"/>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sz w:val="20"/>
              </w:rPr>
              <w:t>Current pilot</w:t>
            </w:r>
          </w:p>
        </w:tc>
        <w:tc>
          <w:tcPr>
            <w:tcW w:type="dxa" w:w="3888"/>
            <w:vAlign w:val="center"/>
            <w:shd w:fill="DDE6EE"/>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sz w:val="20"/>
              </w:rPr>
              <w:t>Benchmark v2</w:t>
            </w:r>
          </w:p>
        </w:tc>
      </w:tr>
      <w:tr>
        <w:trPr>
          <w:cantSplit/>
        </w:trP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val="0"/>
                <w:sz w:val="20"/>
              </w:rPr>
              <w:t>Unsafe action release rate</w:t>
            </w:r>
          </w:p>
        </w:tc>
        <w:tc>
          <w:tcPr>
            <w:tcW w:type="dxa" w:w="381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val="0"/>
                <w:sz w:val="20"/>
              </w:rPr>
              <w:t>Unsafe start/commit releases divided by all start/commit releases</w:t>
            </w:r>
          </w:p>
        </w:tc>
        <w:tc>
          <w:tcPr>
            <w:tcW w:type="dxa" w:w="38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val="0"/>
                <w:sz w:val="20"/>
              </w:rPr>
              <w:t>Unsafe proposals physically released divided by unsafe proposals</w:t>
            </w:r>
          </w:p>
        </w:tc>
      </w:tr>
      <w:tr>
        <w:trPr>
          <w:cantSplit/>
        </w:trPr>
        <w:tc>
          <w:tcPr>
            <w:tcW w:type="dxa" w:w="2088"/>
            <w:vAlign w:val="center"/>
            <w:shd w:fill="F5F7FA"/>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val="0"/>
                <w:sz w:val="20"/>
              </w:rPr>
              <w:t>False-safe authorization rate</w:t>
            </w:r>
          </w:p>
        </w:tc>
        <w:tc>
          <w:tcPr>
            <w:tcW w:type="dxa" w:w="3816"/>
            <w:vAlign w:val="center"/>
            <w:shd w:fill="F5F7FA"/>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val="0"/>
                <w:sz w:val="20"/>
              </w:rPr>
              <w:t>Truth-unsupported releases divided by all releases</w:t>
            </w:r>
          </w:p>
        </w:tc>
        <w:tc>
          <w:tcPr>
            <w:tcW w:type="dxa" w:w="3888"/>
            <w:vAlign w:val="center"/>
            <w:shd w:fill="F5F7FA"/>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val="0"/>
                <w:sz w:val="20"/>
              </w:rPr>
              <w:t>Releases under unsupported represented evidence divided by proposals under that condition</w:t>
            </w:r>
          </w:p>
        </w:tc>
      </w:tr>
      <w:tr>
        <w:trPr>
          <w:cantSplit/>
        </w:trP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val="0"/>
                <w:sz w:val="20"/>
              </w:rPr>
              <w:t>Useful action retention</w:t>
            </w:r>
          </w:p>
        </w:tc>
        <w:tc>
          <w:tcPr>
            <w:tcW w:type="dxa" w:w="381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val="0"/>
                <w:sz w:val="20"/>
              </w:rPr>
              <w:t>Supported start opportunities admitted divided by supported opportunities encountered</w:t>
            </w:r>
          </w:p>
        </w:tc>
        <w:tc>
          <w:tcPr>
            <w:tcW w:type="dxa" w:w="38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val="0"/>
                <w:sz w:val="20"/>
              </w:rPr>
              <w:t>Valid unaffected actions retained divided by valid actions available</w:t>
            </w:r>
          </w:p>
        </w:tc>
      </w:tr>
      <w:tr>
        <w:trPr>
          <w:cantSplit/>
        </w:trPr>
        <w:tc>
          <w:tcPr>
            <w:tcW w:type="dxa" w:w="2088"/>
            <w:vAlign w:val="center"/>
            <w:shd w:fill="F5F7FA"/>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val="0"/>
                <w:sz w:val="20"/>
              </w:rPr>
              <w:t>Unnecessary revocation rate</w:t>
            </w:r>
          </w:p>
        </w:tc>
        <w:tc>
          <w:tcPr>
            <w:tcW w:type="dxa" w:w="3816"/>
            <w:vAlign w:val="center"/>
            <w:shd w:fill="F5F7FA"/>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val="0"/>
                <w:sz w:val="20"/>
              </w:rPr>
              <w:t>Truth-avoidable revocations or controller requests divided by those events</w:t>
            </w:r>
          </w:p>
        </w:tc>
        <w:tc>
          <w:tcPr>
            <w:tcW w:type="dxa" w:w="3888"/>
            <w:vAlign w:val="center"/>
            <w:shd w:fill="F5F7FA"/>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val="0"/>
                <w:sz w:val="20"/>
              </w:rPr>
              <w:t>Safe supported candidates revoked divided by safe supported candidates</w:t>
            </w:r>
          </w:p>
        </w:tc>
      </w:tr>
      <w:tr>
        <w:trPr>
          <w:cantSplit/>
        </w:trP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val="0"/>
                <w:sz w:val="20"/>
              </w:rPr>
              <w:t>Task completion</w:t>
            </w:r>
          </w:p>
        </w:tc>
        <w:tc>
          <w:tcPr>
            <w:tcW w:type="dxa" w:w="381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val="0"/>
                <w:sz w:val="20"/>
              </w:rPr>
              <w:t>All instances in the current plan completed</w:t>
            </w:r>
          </w:p>
        </w:tc>
        <w:tc>
          <w:tcPr>
            <w:tcW w:type="dxa" w:w="38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40" w:line="245" w:lineRule="auto"/>
            </w:pPr>
            <w:r>
              <w:rPr>
                <w:b w:val="0"/>
                <w:sz w:val="20"/>
              </w:rPr>
              <w:t>Declared emergency objective achieved</w:t>
            </w:r>
          </w:p>
        </w:tc>
      </w:tr>
    </w:tbl>
    <w:p>
      <w:pPr>
        <w:spacing w:after="0"/>
      </w:pPr>
    </w:p>
    <w:p>
      <w:pPr>
        <w:pStyle w:val="Heading2"/>
      </w:pPr>
      <w:r>
        <w:t>Define the observation unit</w:t>
      </w:r>
    </w:p>
    <w:p>
      <w:r>
        <w:t>The revised protocol should distinguish a planner proposal, an action instance, a phase attempt, a local dispatch, a device execution and a verified completion. They are different events and cannot be combined into one denominator without an explicit rule.</w:t>
      </w:r>
    </w:p>
    <w:p>
      <w:pPr>
        <w:pStyle w:val="Heading2"/>
      </w:pPr>
      <w:r>
        <w:t>Separate represented support from physical ground truth</w:t>
      </w:r>
    </w:p>
    <w:p>
      <w:r>
        <w:t>A metric that checks only dependencies represented in the runtime graph can miss a real dependency omitted from that graph. Model-mismatch and hidden-dependency experiments therefore need separate truth-based labels. The runtime authorization model and experimental truth model must be independently configurable for these tests.</w:t>
      </w:r>
    </w:p>
    <w:p>
      <w:pPr>
        <w:pStyle w:val="Heading2"/>
      </w:pPr>
      <w:r>
        <w:t>Keep timing and statistical claims precise</w:t>
      </w:r>
    </w:p>
    <w:p>
      <w:r>
        <w:t>Report local evaluator cost, total authority-processing cost, communication delay and physical recovery time separately. A measured p99 alone is not a hard deadline guarantee. Freeze the scenario/seed sampling unit and account for correlated observations before interpreting confidence intervals or a zero-failure bound.</w:t>
      </w:r>
    </w:p>
    <w:p>
      <w:r>
        <w:t>The existing scheduler demonstrates an inclusion-maximal compatible subset. Alternative evidence can preserve logical support even when an old lease still needs renewal. Please keep these distinctions in the maximal-continuation and witness-substitution pass conditions.</w:t>
      </w:r>
    </w:p>
    <w:p>
      <w:r>
        <w:br w:type="page"/>
      </w:r>
    </w:p>
    <w:p>
      <w:pPr>
        <w:pStyle w:val="Heading1"/>
      </w:pPr>
      <w:r>
        <w:t>Work still required and requested revision</w:t>
      </w:r>
    </w:p>
    <w:p>
      <w:pPr>
        <w:pStyle w:val="Heading2"/>
      </w:pPr>
      <w:r>
        <w:t>Remaining research and engineering work</w:t>
      </w:r>
    </w:p>
    <w:p>
      <w:r>
        <w:t>The following remain future work: systematic independent model-mismatch and hidden-dependency campaigns; the intended direct-dependency comparator; additional mechanism and evidence-class ablations; broader graph topology and fault-timing sweeps; AI planner adapters and frozen domain planning scenarios; real MQTT/netem processes; durable restart and replay handling; and Raspberry Pi/ESP32 hardware validation.</w:t>
      </w:r>
    </w:p>
    <w:p>
      <w:r>
        <w:t>The pilot has four feature-removal variants: hazard redundancy, running monitoring, commit evidence checks and physical/joint admission. These do not cover the benchmark's full ablation matrix.</w:t>
      </w:r>
    </w:p>
    <w:p>
      <w:pPr>
        <w:pStyle w:val="Heading2"/>
      </w:pPr>
      <w:r>
        <w:t>Requested changes to benchmark v2</w:t>
      </w:r>
    </w:p>
    <w:p>
      <w:r>
        <w:t>1. Update Section 6, Section 22 and Appendix B to recognize completed Week 4-5 software work. Identify each remaining item as a new feature, an extension or additional evaluation.</w:t>
      </w:r>
    </w:p>
    <w:p>
      <w:r>
        <w:t>2. Add explicit versions and descriptive names for baseline policies, scenarios and metric formulas. Preserve archived results under their original definitions.</w:t>
      </w:r>
    </w:p>
    <w:p>
      <w:r>
        <w:t>3. Map each benchmark requirement to existing code, tests and saved evidence. Identify missing coverage rather than assuming missing implementation.</w:t>
      </w:r>
    </w:p>
    <w:p>
      <w:r>
        <w:t>4. Define the direct-dependency comparator and targeted closure/revalidation experiments so each central mechanism can be tested separately.</w:t>
      </w:r>
    </w:p>
    <w:p>
      <w:r>
        <w:t>5. Specify independent ground-truth labels, objective attainment, physical execution timestamps and experimental sampling units.</w:t>
      </w:r>
    </w:p>
    <w:p>
      <w:r>
        <w:t>6. Separate completed pilot findings from proposed LLM, distributed-network and hardware claims. Freeze final endpoints and configurations before the headline campaign.</w:t>
      </w:r>
    </w:p>
    <w:p>
      <w:pPr>
        <w:pStyle w:val="Heading2"/>
      </w:pPr>
      <w:r>
        <w:t>Suggested next sequence</w:t>
      </w:r>
    </w:p>
    <w:p>
      <w:r>
        <w:t>First agree on the reconciled specification and requirement-to-evidence map. Then add the targeted mechanism, model-mismatch and dependency-coverage tests. Extend scalability and fault-timing campaigns, integrate bounded planners, validate distributed transport and restart behavior, and finally reproduce representative cases with hardware.</w:t>
      </w:r>
    </w:p>
    <w:p>
      <w:pPr>
        <w:pStyle w:val="Heading2"/>
      </w:pPr>
      <w:r>
        <w:t>Repository evidence for the authors</w:t>
      </w:r>
    </w:p>
    <w:p>
      <w:r>
        <w:t>The following paths are relative to the project repository and should accompany this update when sharing the repository or experiment archive.</w:t>
      </w:r>
    </w:p>
    <w:p>
      <w:pPr>
        <w:spacing w:after="80"/>
      </w:pPr>
      <w:r>
        <w:rPr>
          <w:sz w:val="20"/>
        </w:rPr>
        <w:t>README.md - implementation scope and run commands.</w:t>
      </w:r>
    </w:p>
    <w:p>
      <w:pPr>
        <w:spacing w:after="80"/>
      </w:pPr>
      <w:r>
        <w:rPr>
          <w:sz w:val="20"/>
        </w:rPr>
        <w:t>docs/week-four-reference.md and docs/week-five-reference.md - exact simulation, baseline, transport and metric semantics.</w:t>
      </w:r>
    </w:p>
    <w:p>
      <w:pPr>
        <w:spacing w:after="80"/>
      </w:pPr>
      <w:r>
        <w:rPr>
          <w:sz w:val="20"/>
        </w:rPr>
        <w:t>docs/week-five-findings.md - inspected pilot outcomes and limitations.</w:t>
      </w:r>
    </w:p>
    <w:p>
      <w:pPr>
        <w:spacing w:after="80"/>
      </w:pPr>
      <w:r>
        <w:rPr>
          <w:sz w:val="20"/>
        </w:rPr>
        <w:t>src/simulation/config.rs, model.rs, engine.rs and report.rs - implemented policies, plant/oracle, execution and metric export.</w:t>
      </w:r>
    </w:p>
    <w:p>
      <w:pPr>
        <w:spacing w:after="80"/>
      </w:pPr>
      <w:r>
        <w:rPr>
          <w:sz w:val="20"/>
        </w:rPr>
        <w:t>tests/week_one.rs through tests/week_five.rs; tests/witness_oracle.rs - semantic and lifecycle verification.</w:t>
      </w:r>
    </w:p>
    <w:p>
      <w:pPr>
        <w:spacing w:after="80"/>
      </w:pPr>
      <w:r>
        <w:rPr>
          <w:sz w:val="20"/>
        </w:rPr>
        <w:t>target/week-five-pilot-final/pilot-report.md, pilot-report.json, pilot.csv, runs/, replays/ and verification/ - saved campaign evidence.</w:t>
      </w:r>
    </w:p>
    <w:p>
      <w:pPr>
        <w:spacing w:after="80"/>
      </w:pPr>
      <w:r>
        <w:rPr>
          <w:sz w:val="20"/>
        </w:rPr>
        <w:t>DCRA_Benchmark_Specification_v2.docx - specification being reconciled, especially Sections 6, 7, 12, 13, 18 and 22, and Appendix B.</w:t>
      </w:r>
    </w:p>
    <w:sectPr w:rsidR="00FC693F" w:rsidRPr="0006063C" w:rsidSect="00034616">
      <w:pgSz w:w="11952" w:h="16848"/>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DCRA Implementation Status and Benchmark Alignment</dc:title>
  <dc:subject/>
  <dc:creator>DCRA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