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Pr>
        <w:pStyle w:val="2"/>
        <w:bidi w:val="0"/>
        <w:spacing w:line="360" w:lineRule="auto"/>
        <w:jc w:val="center"/>
        <w:rPr>
          <w:rFonts w:hint="default"/>
          <w:b/>
          <w:bCs/>
          <w:lang w:val="en-US"/>
        </w:rPr>
      </w:pPr>
      <w:r>
        <w:rPr>
          <w:rFonts w:hint="default"/>
          <w:b/>
          <w:bCs/>
          <w:lang w:val="en-US"/>
        </w:rPr>
        <w:t>CHAPTER FOUR</w:t>
      </w:r>
    </w:p>
    <w:p w14:paraId="03F49D3C">
      <w:pPr>
        <w:pStyle w:val="2"/>
        <w:bidi w:val="0"/>
        <w:spacing w:line="360" w:lineRule="auto"/>
        <w:jc w:val="center"/>
        <w:rPr>
          <w:rFonts w:hint="default" w:cs="Times New Roman"/>
          <w:szCs w:val="24"/>
          <w:lang w:val="en-US"/>
        </w:rPr>
      </w:pPr>
      <w:r>
        <w:rPr>
          <w:rFonts w:hint="default"/>
          <w:b/>
          <w:bCs/>
          <w:lang w:val="en-US"/>
        </w:rPr>
        <w:t>SYSTEM IMPLEMENTATION</w:t>
      </w:r>
    </w:p>
    <w:p w14:paraId="5A40C510">
      <w:pPr>
        <w:pStyle w:val="3"/>
        <w:spacing w:line="360" w:lineRule="auto"/>
        <w:rPr>
          <w:rFonts w:hint="default"/>
          <w:lang w:val="en-US"/>
        </w:rPr>
      </w:pPr>
      <w:bookmarkStart w:id="0" w:name="_Toc183163360"/>
      <w:r>
        <w:rPr>
          <w:b/>
          <w:bCs/>
        </w:rPr>
        <w:t>4.</w:t>
      </w:r>
      <w:r>
        <w:rPr>
          <w:rFonts w:hint="default"/>
          <w:b/>
          <w:bCs/>
          <w:lang w:val="en-US"/>
        </w:rPr>
        <w:t>1</w:t>
      </w:r>
      <w:bookmarkEnd w:id="0"/>
      <w:r>
        <w:rPr>
          <w:rFonts w:hint="default"/>
          <w:b/>
          <w:bCs/>
          <w:lang w:val="en-US"/>
        </w:rPr>
        <w:tab/>
      </w:r>
      <w:r>
        <w:rPr>
          <w:rFonts w:hint="default"/>
          <w:b/>
          <w:bCs/>
          <w:lang w:val="en-US"/>
        </w:rPr>
        <w:t>Chapter Overview</w:t>
      </w:r>
    </w:p>
    <w:p w14:paraId="01D4CE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chapter presents the analysis and interpretation of data collected from 2,576 respondents sampled from the Nigerian telecommunications sector, focusing on MTN and Airtel customers. The analysis aims to explore key factors that influence customer churn and compare churn rates between these two dominant service providers.</w:t>
      </w:r>
    </w:p>
    <w:p w14:paraId="5C020C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data were obtained electronically through structured questionnaires administered via Google Forms. After data cleaning (missing values removal, etc.), the sample size was refined to 1, 383 respondents, as other entries were excluded due to incomplete or inconsistent responses. The remaining data provides a robust foundation for analyzing key demographic information, customer satisfaction levels, subscription patterns, and usage behaviors.</w:t>
      </w:r>
    </w:p>
    <w:p w14:paraId="5596AC2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By examining these responses, the study seeks to uncover significant patterns contributing to customer churn and assess how these factors align with the research objectives. This chapter also offers a detailed breakdown of the findings, including descriptive statistics and the relationship between various factors such as age, gender, subscription type, and monthly spending with customer churn. The goal is to generate insights that can help reduce churn rates and improve customer retention in Nigeria's highly competitive telecommunications industry.</w:t>
      </w:r>
      <w:bookmarkStart w:id="1" w:name="_Toc183163361"/>
    </w:p>
    <w:p w14:paraId="1BF92B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Tables 4.1</w:t>
      </w:r>
      <w:r>
        <w:rPr>
          <w:rFonts w:hint="default" w:ascii="Times New Roman" w:hAnsi="Times New Roman" w:cs="Times New Roman"/>
          <w:sz w:val="24"/>
          <w:szCs w:val="24"/>
          <w:lang w:val="en-US"/>
        </w:rPr>
        <w:t xml:space="preserve">.1 </w:t>
      </w:r>
      <w:r>
        <w:rPr>
          <w:rFonts w:ascii="Times New Roman" w:hAnsi="Times New Roman" w:cs="Times New Roman"/>
          <w:sz w:val="24"/>
          <w:szCs w:val="24"/>
        </w:rPr>
        <w:t>- 4.</w:t>
      </w:r>
      <w:r>
        <w:rPr>
          <w:rFonts w:hint="default" w:ascii="Times New Roman" w:hAnsi="Times New Roman" w:cs="Times New Roman"/>
          <w:sz w:val="24"/>
          <w:szCs w:val="24"/>
          <w:lang w:val="en-US"/>
        </w:rPr>
        <w:t>1.</w:t>
      </w:r>
      <w:r>
        <w:rPr>
          <w:rFonts w:ascii="Times New Roman" w:hAnsi="Times New Roman" w:cs="Times New Roman"/>
          <w:sz w:val="24"/>
          <w:szCs w:val="24"/>
        </w:rPr>
        <w:t>10 captures the demographic profiles of the customers indicating the various frequency and percentage distribution of the considered profiles of the respondents. A detailed analysis is presented in preceding sections.</w:t>
      </w:r>
    </w:p>
    <w:bookmarkEnd w:id="1"/>
    <w:p w14:paraId="41108253">
      <w:pPr>
        <w:pStyle w:val="5"/>
        <w:bidi w:val="0"/>
        <w:spacing w:line="360" w:lineRule="auto"/>
        <w:jc w:val="center"/>
        <w:rPr>
          <w:rFonts w:ascii="Times New Roman" w:hAnsi="Times New Roman" w:cs="Times New Roman"/>
          <w:szCs w:val="24"/>
        </w:rPr>
      </w:pPr>
      <w:bookmarkStart w:id="2" w:name="_Hlk184218774"/>
      <w:r>
        <w:t>Table 4.1</w:t>
      </w:r>
      <w:r>
        <w:rPr>
          <w:rFonts w:hint="default"/>
          <w:lang w:val="en-US"/>
        </w:rPr>
        <w:t>.1</w:t>
      </w:r>
      <w:r>
        <w:t xml:space="preserve"> Age Distribution of Respondents</w:t>
      </w:r>
    </w:p>
    <w:bookmarkEnd w:id="2"/>
    <w:tbl>
      <w:tblPr>
        <w:tblStyle w:val="12"/>
        <w:tblW w:w="8995"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93"/>
        <w:gridCol w:w="2277"/>
        <w:gridCol w:w="2725"/>
      </w:tblGrid>
      <w:tr w14:paraId="761E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Header/>
          <w:tblCellSpacing w:w="15" w:type="dxa"/>
          <w:jc w:val="center"/>
        </w:trPr>
        <w:tc>
          <w:tcPr>
            <w:tcW w:w="0" w:type="auto"/>
            <w:vAlign w:val="center"/>
          </w:tcPr>
          <w:p w14:paraId="3164839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Age Group (Years)</w:t>
            </w:r>
          </w:p>
        </w:tc>
        <w:tc>
          <w:tcPr>
            <w:tcW w:w="0" w:type="auto"/>
            <w:vAlign w:val="center"/>
          </w:tcPr>
          <w:p w14:paraId="781A199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680" w:type="dxa"/>
            <w:vAlign w:val="center"/>
          </w:tcPr>
          <w:p w14:paraId="1C54A3D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7E28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121B0E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 – 24</w:t>
            </w:r>
          </w:p>
        </w:tc>
        <w:tc>
          <w:tcPr>
            <w:tcW w:w="0" w:type="auto"/>
            <w:vAlign w:val="center"/>
          </w:tcPr>
          <w:p w14:paraId="32FD60C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2680" w:type="dxa"/>
            <w:vAlign w:val="center"/>
          </w:tcPr>
          <w:p w14:paraId="3D764B0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7102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CellSpacing w:w="15" w:type="dxa"/>
          <w:jc w:val="center"/>
        </w:trPr>
        <w:tc>
          <w:tcPr>
            <w:tcW w:w="0" w:type="auto"/>
            <w:vAlign w:val="center"/>
          </w:tcPr>
          <w:p w14:paraId="7FB63A9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 – 34</w:t>
            </w:r>
          </w:p>
        </w:tc>
        <w:tc>
          <w:tcPr>
            <w:tcW w:w="0" w:type="auto"/>
            <w:vAlign w:val="center"/>
          </w:tcPr>
          <w:p w14:paraId="0CF2481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2680" w:type="dxa"/>
            <w:vAlign w:val="center"/>
          </w:tcPr>
          <w:p w14:paraId="45C350E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42BA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04C27B3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35 – 44</w:t>
            </w:r>
          </w:p>
        </w:tc>
        <w:tc>
          <w:tcPr>
            <w:tcW w:w="0" w:type="auto"/>
            <w:vAlign w:val="center"/>
          </w:tcPr>
          <w:p w14:paraId="33FE7C4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340</w:t>
            </w:r>
          </w:p>
        </w:tc>
        <w:tc>
          <w:tcPr>
            <w:tcW w:w="2680" w:type="dxa"/>
            <w:vAlign w:val="center"/>
          </w:tcPr>
          <w:p w14:paraId="44F33EB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24.6%</w:t>
            </w:r>
          </w:p>
        </w:tc>
      </w:tr>
      <w:tr w14:paraId="0A92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088AF8C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 – 64</w:t>
            </w:r>
          </w:p>
        </w:tc>
        <w:tc>
          <w:tcPr>
            <w:tcW w:w="0" w:type="auto"/>
            <w:vAlign w:val="center"/>
          </w:tcPr>
          <w:p w14:paraId="5677B5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c>
          <w:tcPr>
            <w:tcW w:w="2680" w:type="dxa"/>
            <w:vAlign w:val="center"/>
          </w:tcPr>
          <w:p w14:paraId="49883C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18.8%</w:t>
            </w:r>
          </w:p>
        </w:tc>
      </w:tr>
      <w:tr w14:paraId="1DEF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CellSpacing w:w="15" w:type="dxa"/>
          <w:jc w:val="center"/>
        </w:trPr>
        <w:tc>
          <w:tcPr>
            <w:tcW w:w="0" w:type="auto"/>
            <w:vAlign w:val="center"/>
          </w:tcPr>
          <w:p w14:paraId="1F6A4E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65+</w:t>
            </w:r>
          </w:p>
        </w:tc>
        <w:tc>
          <w:tcPr>
            <w:tcW w:w="0" w:type="auto"/>
            <w:vAlign w:val="center"/>
          </w:tcPr>
          <w:p w14:paraId="4C4E18D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2680" w:type="dxa"/>
            <w:vAlign w:val="center"/>
          </w:tcPr>
          <w:p w14:paraId="6B1BA0A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14:paraId="5217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7EBDDC3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0" w:type="auto"/>
            <w:vAlign w:val="center"/>
          </w:tcPr>
          <w:p w14:paraId="54B57D7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2680" w:type="dxa"/>
            <w:vAlign w:val="center"/>
          </w:tcPr>
          <w:p w14:paraId="519B68FE">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bl>
    <w:p w14:paraId="336B0F3B">
      <w:pPr>
        <w:spacing w:after="0" w:line="360" w:lineRule="auto"/>
        <w:jc w:val="both"/>
        <w:rPr>
          <w:rFonts w:ascii="Times New Roman" w:hAnsi="Times New Roman" w:cs="Times New Roman"/>
          <w:b/>
          <w:bCs/>
          <w:sz w:val="24"/>
          <w:szCs w:val="24"/>
        </w:rPr>
      </w:pPr>
    </w:p>
    <w:p w14:paraId="31CB1E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6EC9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age distribution of the 1,383 respondents reveals a clear trend in the demographic composition of the sample. The majority of respondents fall within the </w:t>
      </w:r>
      <w:r>
        <w:rPr>
          <w:rFonts w:ascii="Times New Roman" w:hAnsi="Times New Roman" w:cs="Times New Roman"/>
          <w:b/>
          <w:bCs/>
          <w:sz w:val="24"/>
          <w:szCs w:val="24"/>
        </w:rPr>
        <w:t>25 - 34</w:t>
      </w:r>
      <w:r>
        <w:rPr>
          <w:rFonts w:ascii="Times New Roman" w:hAnsi="Times New Roman" w:cs="Times New Roman"/>
          <w:sz w:val="24"/>
          <w:szCs w:val="24"/>
        </w:rPr>
        <w:t xml:space="preserve"> age group, accounting for </w:t>
      </w:r>
      <w:r>
        <w:rPr>
          <w:rFonts w:ascii="Times New Roman" w:hAnsi="Times New Roman" w:cs="Times New Roman"/>
          <w:b/>
          <w:bCs/>
          <w:sz w:val="24"/>
          <w:szCs w:val="24"/>
        </w:rPr>
        <w:t>30.4%</w:t>
      </w:r>
      <w:r>
        <w:rPr>
          <w:rFonts w:ascii="Times New Roman" w:hAnsi="Times New Roman" w:cs="Times New Roman"/>
          <w:sz w:val="24"/>
          <w:szCs w:val="24"/>
        </w:rPr>
        <w:t xml:space="preserve"> of the total sample. This suggests that the telecom sector, particularly among MTN and Airtel subscribers, is largely driven by young adults in this age range, likely reflecting a high level of digital engagement and mobile usage within this group.</w:t>
      </w:r>
    </w:p>
    <w:p w14:paraId="2D44B8A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second-largest group is the </w:t>
      </w:r>
      <w:r>
        <w:rPr>
          <w:rFonts w:ascii="Times New Roman" w:hAnsi="Times New Roman" w:cs="Times New Roman"/>
          <w:b/>
          <w:bCs/>
          <w:sz w:val="24"/>
          <w:szCs w:val="24"/>
        </w:rPr>
        <w:t>35 - 44</w:t>
      </w:r>
      <w:r>
        <w:rPr>
          <w:rFonts w:ascii="Times New Roman" w:hAnsi="Times New Roman" w:cs="Times New Roman"/>
          <w:sz w:val="24"/>
          <w:szCs w:val="24"/>
        </w:rPr>
        <w:t xml:space="preserve"> age category, representing </w:t>
      </w:r>
      <w:r>
        <w:rPr>
          <w:rFonts w:ascii="Times New Roman" w:hAnsi="Times New Roman" w:cs="Times New Roman"/>
          <w:b/>
          <w:bCs/>
          <w:sz w:val="24"/>
          <w:szCs w:val="24"/>
        </w:rPr>
        <w:t>24.6%</w:t>
      </w:r>
      <w:r>
        <w:rPr>
          <w:rFonts w:ascii="Times New Roman" w:hAnsi="Times New Roman" w:cs="Times New Roman"/>
          <w:sz w:val="24"/>
          <w:szCs w:val="24"/>
        </w:rPr>
        <w:t xml:space="preserve"> of the respondents. This segment likely includes working professionals and middle-aged individuals who rely heavily on mobile connectivity for both personal and professional purposes.</w:t>
      </w:r>
    </w:p>
    <w:p w14:paraId="406BA8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Interestingly, the </w:t>
      </w:r>
      <w:r>
        <w:rPr>
          <w:rFonts w:ascii="Times New Roman" w:hAnsi="Times New Roman" w:cs="Times New Roman"/>
          <w:b/>
          <w:bCs/>
          <w:sz w:val="24"/>
          <w:szCs w:val="24"/>
        </w:rPr>
        <w:t>18 - 24</w:t>
      </w:r>
      <w:r>
        <w:rPr>
          <w:rFonts w:ascii="Times New Roman" w:hAnsi="Times New Roman" w:cs="Times New Roman"/>
          <w:sz w:val="24"/>
          <w:szCs w:val="24"/>
        </w:rPr>
        <w:t xml:space="preserve"> age group makes up </w:t>
      </w:r>
      <w:r>
        <w:rPr>
          <w:rFonts w:ascii="Times New Roman" w:hAnsi="Times New Roman" w:cs="Times New Roman"/>
          <w:b/>
          <w:bCs/>
          <w:sz w:val="24"/>
          <w:szCs w:val="24"/>
        </w:rPr>
        <w:t>21.7%</w:t>
      </w:r>
      <w:r>
        <w:rPr>
          <w:rFonts w:ascii="Times New Roman" w:hAnsi="Times New Roman" w:cs="Times New Roman"/>
          <w:sz w:val="24"/>
          <w:szCs w:val="24"/>
        </w:rPr>
        <w:t>, indicating that younger users are also a significant part of the customer base. This suggests a growing adoption of mobile services among younger demographics, who are likely frequent users of data-intensive applications such as social media and streaming platforms.</w:t>
      </w:r>
    </w:p>
    <w:p w14:paraId="7D3839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45 - 64</w:t>
      </w:r>
      <w:r>
        <w:rPr>
          <w:rFonts w:ascii="Times New Roman" w:hAnsi="Times New Roman" w:cs="Times New Roman"/>
          <w:sz w:val="24"/>
          <w:szCs w:val="24"/>
        </w:rPr>
        <w:t xml:space="preserve"> age group contributes </w:t>
      </w:r>
      <w:r>
        <w:rPr>
          <w:rFonts w:ascii="Times New Roman" w:hAnsi="Times New Roman" w:cs="Times New Roman"/>
          <w:b/>
          <w:bCs/>
          <w:sz w:val="24"/>
          <w:szCs w:val="24"/>
        </w:rPr>
        <w:t>18.8%</w:t>
      </w:r>
      <w:r>
        <w:rPr>
          <w:rFonts w:ascii="Times New Roman" w:hAnsi="Times New Roman" w:cs="Times New Roman"/>
          <w:sz w:val="24"/>
          <w:szCs w:val="24"/>
        </w:rPr>
        <w:t xml:space="preserve"> to the total respondents, highlighting that older adult, though less prevalent, are still active subscribers. Finally, the </w:t>
      </w:r>
      <w:r>
        <w:rPr>
          <w:rFonts w:ascii="Times New Roman" w:hAnsi="Times New Roman" w:cs="Times New Roman"/>
          <w:b/>
          <w:bCs/>
          <w:sz w:val="24"/>
          <w:szCs w:val="24"/>
        </w:rPr>
        <w:t>65+</w:t>
      </w:r>
      <w:r>
        <w:rPr>
          <w:rFonts w:ascii="Times New Roman" w:hAnsi="Times New Roman" w:cs="Times New Roman"/>
          <w:sz w:val="24"/>
          <w:szCs w:val="24"/>
        </w:rPr>
        <w:t xml:space="preserve"> age group, with </w:t>
      </w:r>
      <w:r>
        <w:rPr>
          <w:rFonts w:ascii="Times New Roman" w:hAnsi="Times New Roman" w:cs="Times New Roman"/>
          <w:b/>
          <w:bCs/>
          <w:sz w:val="24"/>
          <w:szCs w:val="24"/>
        </w:rPr>
        <w:t>4.5%</w:t>
      </w:r>
      <w:r>
        <w:rPr>
          <w:rFonts w:ascii="Times New Roman" w:hAnsi="Times New Roman" w:cs="Times New Roman"/>
          <w:sz w:val="24"/>
          <w:szCs w:val="24"/>
        </w:rPr>
        <w:t>, represents the smallest portion of the sample, which could indicate a lower level of mobile engagement among seniors, possibly due to generational differences in technology adoption.</w:t>
      </w:r>
    </w:p>
    <w:p w14:paraId="710F8D66">
      <w:pPr>
        <w:pStyle w:val="5"/>
        <w:bidi w:val="0"/>
        <w:spacing w:line="360" w:lineRule="auto"/>
        <w:jc w:val="center"/>
        <w:rPr>
          <w:rFonts w:ascii="Times New Roman" w:hAnsi="Times New Roman" w:cs="Times New Roman"/>
          <w:szCs w:val="24"/>
        </w:rPr>
      </w:pPr>
      <w:r>
        <w:t>Table 4.</w:t>
      </w:r>
      <w:r>
        <w:rPr>
          <w:rFonts w:hint="default"/>
          <w:lang w:val="en-US"/>
        </w:rPr>
        <w:t>1.</w:t>
      </w:r>
      <w:r>
        <w:t>2</w:t>
      </w:r>
      <w:r>
        <w:rPr>
          <w:rFonts w:hint="default"/>
          <w:lang w:val="en-US"/>
        </w:rPr>
        <w:t xml:space="preserve"> </w:t>
      </w:r>
      <w:r>
        <w:t>Gender, Subscription Type, Occupation and Educational Level Distribution</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435"/>
        <w:gridCol w:w="1663"/>
        <w:gridCol w:w="1017"/>
        <w:gridCol w:w="1688"/>
      </w:tblGrid>
      <w:tr w14:paraId="0EF7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CB066F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Demographic Variable</w:t>
            </w:r>
          </w:p>
        </w:tc>
        <w:tc>
          <w:tcPr>
            <w:tcW w:w="1633" w:type="dxa"/>
            <w:vAlign w:val="center"/>
          </w:tcPr>
          <w:p w14:paraId="166B9EC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987" w:type="dxa"/>
            <w:vAlign w:val="center"/>
          </w:tcPr>
          <w:p w14:paraId="39B7DC7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643" w:type="dxa"/>
            <w:vAlign w:val="center"/>
          </w:tcPr>
          <w:p w14:paraId="5D9096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0E0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FCF09BC">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Gender</w:t>
            </w:r>
          </w:p>
        </w:tc>
        <w:tc>
          <w:tcPr>
            <w:tcW w:w="1633" w:type="dxa"/>
            <w:vAlign w:val="center"/>
          </w:tcPr>
          <w:p w14:paraId="54B542B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Male</w:t>
            </w:r>
          </w:p>
        </w:tc>
        <w:tc>
          <w:tcPr>
            <w:tcW w:w="987" w:type="dxa"/>
            <w:vAlign w:val="center"/>
          </w:tcPr>
          <w:p w14:paraId="48CE5DD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700</w:t>
            </w:r>
          </w:p>
        </w:tc>
        <w:tc>
          <w:tcPr>
            <w:tcW w:w="1643" w:type="dxa"/>
            <w:vAlign w:val="center"/>
          </w:tcPr>
          <w:p w14:paraId="2FF40E9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50.6%</w:t>
            </w:r>
          </w:p>
        </w:tc>
      </w:tr>
      <w:tr w14:paraId="5EFB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11381F3">
            <w:pPr>
              <w:spacing w:after="0" w:line="360" w:lineRule="auto"/>
              <w:jc w:val="center"/>
              <w:rPr>
                <w:rFonts w:ascii="Times New Roman" w:hAnsi="Times New Roman" w:cs="Times New Roman"/>
                <w:sz w:val="24"/>
                <w:szCs w:val="24"/>
              </w:rPr>
            </w:pPr>
          </w:p>
        </w:tc>
        <w:tc>
          <w:tcPr>
            <w:tcW w:w="1633" w:type="dxa"/>
            <w:vAlign w:val="center"/>
          </w:tcPr>
          <w:p w14:paraId="346CF2E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Female</w:t>
            </w:r>
          </w:p>
        </w:tc>
        <w:tc>
          <w:tcPr>
            <w:tcW w:w="987" w:type="dxa"/>
            <w:vAlign w:val="center"/>
          </w:tcPr>
          <w:p w14:paraId="52AEBD5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683</w:t>
            </w:r>
          </w:p>
        </w:tc>
        <w:tc>
          <w:tcPr>
            <w:tcW w:w="1643" w:type="dxa"/>
            <w:vAlign w:val="center"/>
          </w:tcPr>
          <w:p w14:paraId="14A37CE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49.4%</w:t>
            </w:r>
          </w:p>
        </w:tc>
      </w:tr>
      <w:tr w14:paraId="6826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5ED85785">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2CA26481">
            <w:pPr>
              <w:spacing w:after="0" w:line="360" w:lineRule="auto"/>
              <w:jc w:val="center"/>
              <w:rPr>
                <w:rFonts w:ascii="Times New Roman" w:hAnsi="Times New Roman" w:cs="Times New Roman"/>
                <w:sz w:val="24"/>
                <w:szCs w:val="24"/>
              </w:rPr>
            </w:pPr>
          </w:p>
        </w:tc>
        <w:tc>
          <w:tcPr>
            <w:tcW w:w="987" w:type="dxa"/>
            <w:vAlign w:val="center"/>
          </w:tcPr>
          <w:p w14:paraId="6CF684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854615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53AB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71E5EDF">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Subscription Type</w:t>
            </w:r>
          </w:p>
        </w:tc>
        <w:tc>
          <w:tcPr>
            <w:tcW w:w="1633" w:type="dxa"/>
            <w:vAlign w:val="center"/>
          </w:tcPr>
          <w:p w14:paraId="032A3F3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Prepaid</w:t>
            </w:r>
          </w:p>
        </w:tc>
        <w:tc>
          <w:tcPr>
            <w:tcW w:w="987" w:type="dxa"/>
            <w:vAlign w:val="center"/>
          </w:tcPr>
          <w:p w14:paraId="06C90A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1,099</w:t>
            </w:r>
          </w:p>
        </w:tc>
        <w:tc>
          <w:tcPr>
            <w:tcW w:w="1643" w:type="dxa"/>
            <w:vAlign w:val="center"/>
          </w:tcPr>
          <w:p w14:paraId="6996A7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79.5%</w:t>
            </w:r>
          </w:p>
        </w:tc>
      </w:tr>
      <w:tr w14:paraId="53D7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0FBBC34">
            <w:pPr>
              <w:spacing w:after="0" w:line="360" w:lineRule="auto"/>
              <w:jc w:val="center"/>
              <w:rPr>
                <w:rFonts w:ascii="Times New Roman" w:hAnsi="Times New Roman" w:cs="Times New Roman"/>
                <w:sz w:val="24"/>
                <w:szCs w:val="24"/>
              </w:rPr>
            </w:pPr>
          </w:p>
        </w:tc>
        <w:tc>
          <w:tcPr>
            <w:tcW w:w="1633" w:type="dxa"/>
            <w:vAlign w:val="center"/>
          </w:tcPr>
          <w:p w14:paraId="046FF8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Postpaid</w:t>
            </w:r>
          </w:p>
        </w:tc>
        <w:tc>
          <w:tcPr>
            <w:tcW w:w="987" w:type="dxa"/>
            <w:vAlign w:val="center"/>
          </w:tcPr>
          <w:p w14:paraId="569DFA3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284</w:t>
            </w:r>
          </w:p>
        </w:tc>
        <w:tc>
          <w:tcPr>
            <w:tcW w:w="1643" w:type="dxa"/>
            <w:vAlign w:val="center"/>
          </w:tcPr>
          <w:p w14:paraId="0595833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14:paraId="20A5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B16E2F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380D2BC4">
            <w:pPr>
              <w:spacing w:after="0" w:line="360" w:lineRule="auto"/>
              <w:jc w:val="center"/>
              <w:rPr>
                <w:rFonts w:ascii="Times New Roman" w:hAnsi="Times New Roman" w:cs="Times New Roman"/>
                <w:sz w:val="24"/>
                <w:szCs w:val="24"/>
              </w:rPr>
            </w:pPr>
          </w:p>
        </w:tc>
        <w:tc>
          <w:tcPr>
            <w:tcW w:w="987" w:type="dxa"/>
            <w:vAlign w:val="center"/>
          </w:tcPr>
          <w:p w14:paraId="6C54CD8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0C5E81C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384B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03F8EF2C">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Occupation</w:t>
            </w:r>
          </w:p>
        </w:tc>
        <w:tc>
          <w:tcPr>
            <w:tcW w:w="1633" w:type="dxa"/>
            <w:vAlign w:val="center"/>
          </w:tcPr>
          <w:p w14:paraId="7FFC28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Student</w:t>
            </w:r>
          </w:p>
        </w:tc>
        <w:tc>
          <w:tcPr>
            <w:tcW w:w="987" w:type="dxa"/>
            <w:vAlign w:val="center"/>
          </w:tcPr>
          <w:p w14:paraId="07B614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643" w:type="dxa"/>
            <w:vAlign w:val="center"/>
          </w:tcPr>
          <w:p w14:paraId="6F44AA6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35A9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9DEC01B">
            <w:pPr>
              <w:spacing w:after="0" w:line="360" w:lineRule="auto"/>
              <w:jc w:val="center"/>
              <w:rPr>
                <w:rFonts w:ascii="Times New Roman" w:hAnsi="Times New Roman" w:cs="Times New Roman"/>
                <w:sz w:val="24"/>
                <w:szCs w:val="24"/>
              </w:rPr>
            </w:pPr>
          </w:p>
        </w:tc>
        <w:tc>
          <w:tcPr>
            <w:tcW w:w="1633" w:type="dxa"/>
            <w:vAlign w:val="center"/>
          </w:tcPr>
          <w:p w14:paraId="317CA11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Employed</w:t>
            </w:r>
          </w:p>
        </w:tc>
        <w:tc>
          <w:tcPr>
            <w:tcW w:w="987" w:type="dxa"/>
            <w:vAlign w:val="center"/>
          </w:tcPr>
          <w:p w14:paraId="153C4AD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459</w:t>
            </w:r>
          </w:p>
        </w:tc>
        <w:tc>
          <w:tcPr>
            <w:tcW w:w="1643" w:type="dxa"/>
            <w:vAlign w:val="center"/>
          </w:tcPr>
          <w:p w14:paraId="4510EEE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33.2%</w:t>
            </w:r>
          </w:p>
        </w:tc>
      </w:tr>
      <w:tr w14:paraId="1BC6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12A03B7">
            <w:pPr>
              <w:spacing w:after="0" w:line="360" w:lineRule="auto"/>
              <w:jc w:val="center"/>
              <w:rPr>
                <w:rFonts w:ascii="Times New Roman" w:hAnsi="Times New Roman" w:cs="Times New Roman"/>
                <w:sz w:val="24"/>
                <w:szCs w:val="24"/>
              </w:rPr>
            </w:pPr>
          </w:p>
        </w:tc>
        <w:tc>
          <w:tcPr>
            <w:tcW w:w="1633" w:type="dxa"/>
            <w:vAlign w:val="center"/>
          </w:tcPr>
          <w:p w14:paraId="33DD46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Self-employed</w:t>
            </w:r>
          </w:p>
        </w:tc>
        <w:tc>
          <w:tcPr>
            <w:tcW w:w="987" w:type="dxa"/>
            <w:vAlign w:val="center"/>
          </w:tcPr>
          <w:p w14:paraId="4AE24C0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43" w:type="dxa"/>
            <w:vAlign w:val="center"/>
          </w:tcPr>
          <w:p w14:paraId="668BC9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1376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F980DBC">
            <w:pPr>
              <w:spacing w:after="0" w:line="360" w:lineRule="auto"/>
              <w:jc w:val="center"/>
              <w:rPr>
                <w:rFonts w:ascii="Times New Roman" w:hAnsi="Times New Roman" w:cs="Times New Roman"/>
                <w:sz w:val="24"/>
                <w:szCs w:val="24"/>
              </w:rPr>
            </w:pPr>
          </w:p>
        </w:tc>
        <w:tc>
          <w:tcPr>
            <w:tcW w:w="1633" w:type="dxa"/>
            <w:vAlign w:val="center"/>
          </w:tcPr>
          <w:p w14:paraId="275398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Retired</w:t>
            </w:r>
          </w:p>
        </w:tc>
        <w:tc>
          <w:tcPr>
            <w:tcW w:w="987" w:type="dxa"/>
            <w:vAlign w:val="center"/>
          </w:tcPr>
          <w:p w14:paraId="4D1015F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83</w:t>
            </w:r>
          </w:p>
        </w:tc>
        <w:tc>
          <w:tcPr>
            <w:tcW w:w="1643" w:type="dxa"/>
            <w:vAlign w:val="center"/>
          </w:tcPr>
          <w:p w14:paraId="7D2870A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w:t>
            </w:r>
          </w:p>
        </w:tc>
      </w:tr>
      <w:tr w14:paraId="06E7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55E92C50">
            <w:pPr>
              <w:spacing w:after="0" w:line="360" w:lineRule="auto"/>
              <w:jc w:val="center"/>
              <w:rPr>
                <w:rFonts w:ascii="Times New Roman" w:hAnsi="Times New Roman" w:cs="Times New Roman"/>
                <w:sz w:val="24"/>
                <w:szCs w:val="24"/>
              </w:rPr>
            </w:pPr>
          </w:p>
        </w:tc>
        <w:tc>
          <w:tcPr>
            <w:tcW w:w="1633" w:type="dxa"/>
            <w:vAlign w:val="center"/>
          </w:tcPr>
          <w:p w14:paraId="6D55E3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Unemployed</w:t>
            </w:r>
          </w:p>
        </w:tc>
        <w:tc>
          <w:tcPr>
            <w:tcW w:w="987" w:type="dxa"/>
            <w:vAlign w:val="center"/>
          </w:tcPr>
          <w:p w14:paraId="1303FD0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643" w:type="dxa"/>
            <w:vAlign w:val="center"/>
          </w:tcPr>
          <w:p w14:paraId="1B0E19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698D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0AC0C4BB">
            <w:pPr>
              <w:spacing w:after="0" w:line="360" w:lineRule="auto"/>
              <w:jc w:val="center"/>
              <w:rPr>
                <w:rFonts w:ascii="Times New Roman" w:hAnsi="Times New Roman" w:cs="Times New Roman"/>
                <w:sz w:val="24"/>
                <w:szCs w:val="24"/>
              </w:rPr>
            </w:pPr>
          </w:p>
        </w:tc>
        <w:tc>
          <w:tcPr>
            <w:tcW w:w="1633" w:type="dxa"/>
            <w:vAlign w:val="center"/>
          </w:tcPr>
          <w:p w14:paraId="2047EB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987" w:type="dxa"/>
            <w:vAlign w:val="center"/>
          </w:tcPr>
          <w:p w14:paraId="021E0A5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643" w:type="dxa"/>
            <w:vAlign w:val="center"/>
          </w:tcPr>
          <w:p w14:paraId="557E4E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14:paraId="69BE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23BC075">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79534508">
            <w:pPr>
              <w:spacing w:after="0" w:line="360" w:lineRule="auto"/>
              <w:jc w:val="center"/>
              <w:rPr>
                <w:rFonts w:ascii="Times New Roman" w:hAnsi="Times New Roman" w:cs="Times New Roman"/>
                <w:sz w:val="24"/>
                <w:szCs w:val="24"/>
              </w:rPr>
            </w:pPr>
          </w:p>
        </w:tc>
        <w:tc>
          <w:tcPr>
            <w:tcW w:w="987" w:type="dxa"/>
            <w:vAlign w:val="center"/>
          </w:tcPr>
          <w:p w14:paraId="0A8C3FE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17CBF2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1A20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8C94EAF">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Education Level</w:t>
            </w:r>
          </w:p>
        </w:tc>
        <w:tc>
          <w:tcPr>
            <w:tcW w:w="1633" w:type="dxa"/>
            <w:vAlign w:val="center"/>
          </w:tcPr>
          <w:p w14:paraId="6DDC611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High School</w:t>
            </w:r>
          </w:p>
        </w:tc>
        <w:tc>
          <w:tcPr>
            <w:tcW w:w="987" w:type="dxa"/>
            <w:vAlign w:val="center"/>
          </w:tcPr>
          <w:p w14:paraId="3A85C78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1643" w:type="dxa"/>
            <w:vAlign w:val="center"/>
          </w:tcPr>
          <w:p w14:paraId="3944A95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6541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60790C2B">
            <w:pPr>
              <w:spacing w:after="0" w:line="360" w:lineRule="auto"/>
              <w:jc w:val="center"/>
              <w:rPr>
                <w:rFonts w:ascii="Times New Roman" w:hAnsi="Times New Roman" w:cs="Times New Roman"/>
                <w:sz w:val="24"/>
                <w:szCs w:val="24"/>
              </w:rPr>
            </w:pPr>
          </w:p>
        </w:tc>
        <w:tc>
          <w:tcPr>
            <w:tcW w:w="1633" w:type="dxa"/>
            <w:vAlign w:val="center"/>
          </w:tcPr>
          <w:p w14:paraId="1ED4B1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Undergraduate</w:t>
            </w:r>
          </w:p>
        </w:tc>
        <w:tc>
          <w:tcPr>
            <w:tcW w:w="987" w:type="dxa"/>
            <w:vAlign w:val="center"/>
          </w:tcPr>
          <w:p w14:paraId="60B2F9D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660</w:t>
            </w:r>
          </w:p>
        </w:tc>
        <w:tc>
          <w:tcPr>
            <w:tcW w:w="1643" w:type="dxa"/>
            <w:vAlign w:val="center"/>
          </w:tcPr>
          <w:p w14:paraId="4D26D18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47.7%</w:t>
            </w:r>
          </w:p>
        </w:tc>
      </w:tr>
      <w:tr w14:paraId="4AD0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2124C197">
            <w:pPr>
              <w:spacing w:after="0" w:line="360" w:lineRule="auto"/>
              <w:jc w:val="center"/>
              <w:rPr>
                <w:rFonts w:ascii="Times New Roman" w:hAnsi="Times New Roman" w:cs="Times New Roman"/>
                <w:sz w:val="24"/>
                <w:szCs w:val="24"/>
              </w:rPr>
            </w:pPr>
          </w:p>
        </w:tc>
        <w:tc>
          <w:tcPr>
            <w:tcW w:w="1633" w:type="dxa"/>
            <w:vAlign w:val="center"/>
          </w:tcPr>
          <w:p w14:paraId="1A23736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Postgraduate</w:t>
            </w:r>
          </w:p>
        </w:tc>
        <w:tc>
          <w:tcPr>
            <w:tcW w:w="987" w:type="dxa"/>
            <w:vAlign w:val="center"/>
          </w:tcPr>
          <w:p w14:paraId="5D1017E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43" w:type="dxa"/>
            <w:vAlign w:val="center"/>
          </w:tcPr>
          <w:p w14:paraId="4D72DE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21AA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094966D">
            <w:pPr>
              <w:spacing w:after="0" w:line="360" w:lineRule="auto"/>
              <w:jc w:val="center"/>
              <w:rPr>
                <w:rFonts w:ascii="Times New Roman" w:hAnsi="Times New Roman" w:cs="Times New Roman"/>
                <w:sz w:val="24"/>
                <w:szCs w:val="24"/>
              </w:rPr>
            </w:pPr>
          </w:p>
        </w:tc>
        <w:tc>
          <w:tcPr>
            <w:tcW w:w="1633" w:type="dxa"/>
            <w:vAlign w:val="center"/>
          </w:tcPr>
          <w:p w14:paraId="1F5B9E1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987" w:type="dxa"/>
            <w:vAlign w:val="center"/>
          </w:tcPr>
          <w:p w14:paraId="18CC2DE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1643" w:type="dxa"/>
            <w:vAlign w:val="center"/>
          </w:tcPr>
          <w:p w14:paraId="6C089E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14:paraId="6136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428809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10D911BF">
            <w:pPr>
              <w:spacing w:after="0" w:line="360" w:lineRule="auto"/>
              <w:jc w:val="center"/>
              <w:rPr>
                <w:rFonts w:ascii="Times New Roman" w:hAnsi="Times New Roman" w:cs="Times New Roman"/>
                <w:sz w:val="24"/>
                <w:szCs w:val="24"/>
              </w:rPr>
            </w:pPr>
          </w:p>
        </w:tc>
        <w:tc>
          <w:tcPr>
            <w:tcW w:w="987" w:type="dxa"/>
            <w:vAlign w:val="center"/>
          </w:tcPr>
          <w:p w14:paraId="728A826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6B9CE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2D434C14">
      <w:pPr>
        <w:spacing w:after="0" w:line="360" w:lineRule="auto"/>
        <w:jc w:val="both"/>
        <w:rPr>
          <w:rFonts w:ascii="Times New Roman" w:hAnsi="Times New Roman" w:cs="Times New Roman"/>
          <w:b/>
          <w:bCs/>
          <w:sz w:val="24"/>
          <w:szCs w:val="24"/>
        </w:rPr>
      </w:pPr>
    </w:p>
    <w:p w14:paraId="761009C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605537A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demographic distribution across </w:t>
      </w:r>
      <w:r>
        <w:rPr>
          <w:rFonts w:ascii="Times New Roman" w:hAnsi="Times New Roman" w:cs="Times New Roman"/>
          <w:b/>
          <w:bCs/>
          <w:sz w:val="24"/>
          <w:szCs w:val="24"/>
        </w:rPr>
        <w:t>Gender</w:t>
      </w:r>
      <w:r>
        <w:rPr>
          <w:rFonts w:ascii="Times New Roman" w:hAnsi="Times New Roman" w:cs="Times New Roman"/>
          <w:sz w:val="24"/>
          <w:szCs w:val="24"/>
        </w:rPr>
        <w:t xml:space="preserve">, </w:t>
      </w:r>
      <w:r>
        <w:rPr>
          <w:rFonts w:ascii="Times New Roman" w:hAnsi="Times New Roman" w:cs="Times New Roman"/>
          <w:b/>
          <w:bCs/>
          <w:sz w:val="24"/>
          <w:szCs w:val="24"/>
        </w:rPr>
        <w:t>Subscription Type</w:t>
      </w:r>
      <w:r>
        <w:rPr>
          <w:rFonts w:ascii="Times New Roman" w:hAnsi="Times New Roman" w:cs="Times New Roman"/>
          <w:sz w:val="24"/>
          <w:szCs w:val="24"/>
        </w:rPr>
        <w:t xml:space="preserve">, </w:t>
      </w:r>
      <w:r>
        <w:rPr>
          <w:rFonts w:ascii="Times New Roman" w:hAnsi="Times New Roman" w:cs="Times New Roman"/>
          <w:b/>
          <w:bCs/>
          <w:sz w:val="24"/>
          <w:szCs w:val="24"/>
        </w:rPr>
        <w:t>Occupation</w:t>
      </w:r>
      <w:r>
        <w:rPr>
          <w:rFonts w:ascii="Times New Roman" w:hAnsi="Times New Roman" w:cs="Times New Roman"/>
          <w:sz w:val="24"/>
          <w:szCs w:val="24"/>
        </w:rPr>
        <w:t xml:space="preserve">, and </w:t>
      </w:r>
      <w:r>
        <w:rPr>
          <w:rFonts w:ascii="Times New Roman" w:hAnsi="Times New Roman" w:cs="Times New Roman"/>
          <w:b/>
          <w:bCs/>
          <w:sz w:val="24"/>
          <w:szCs w:val="24"/>
        </w:rPr>
        <w:t>Education Level</w:t>
      </w:r>
      <w:r>
        <w:rPr>
          <w:rFonts w:ascii="Times New Roman" w:hAnsi="Times New Roman" w:cs="Times New Roman"/>
          <w:sz w:val="24"/>
          <w:szCs w:val="24"/>
        </w:rPr>
        <w:t xml:space="preserve"> provides a comprehensive understanding of the respondents' profiles:</w:t>
      </w:r>
    </w:p>
    <w:p w14:paraId="4045837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Gender</w:t>
      </w:r>
      <w:r>
        <w:rPr>
          <w:rFonts w:ascii="Times New Roman" w:hAnsi="Times New Roman" w:cs="Times New Roman"/>
          <w:sz w:val="24"/>
          <w:szCs w:val="24"/>
        </w:rPr>
        <w:t xml:space="preserve">: The gender distribution is almost evenly split, with </w:t>
      </w:r>
      <w:r>
        <w:rPr>
          <w:rFonts w:ascii="Times New Roman" w:hAnsi="Times New Roman" w:cs="Times New Roman"/>
          <w:b/>
          <w:bCs/>
          <w:sz w:val="24"/>
          <w:szCs w:val="24"/>
        </w:rPr>
        <w:t>50.6%</w:t>
      </w:r>
      <w:r>
        <w:rPr>
          <w:rFonts w:ascii="Times New Roman" w:hAnsi="Times New Roman" w:cs="Times New Roman"/>
          <w:sz w:val="24"/>
          <w:szCs w:val="24"/>
        </w:rPr>
        <w:t xml:space="preserve"> male and </w:t>
      </w:r>
      <w:r>
        <w:rPr>
          <w:rFonts w:ascii="Times New Roman" w:hAnsi="Times New Roman" w:cs="Times New Roman"/>
          <w:b/>
          <w:bCs/>
          <w:sz w:val="24"/>
          <w:szCs w:val="24"/>
        </w:rPr>
        <w:t>49.4%</w:t>
      </w:r>
      <w:r>
        <w:rPr>
          <w:rFonts w:ascii="Times New Roman" w:hAnsi="Times New Roman" w:cs="Times New Roman"/>
          <w:sz w:val="24"/>
          <w:szCs w:val="24"/>
        </w:rPr>
        <w:t xml:space="preserve"> female respondents. This balance ensures a fairly equal representation in terms of gender, which is crucial for evaluating any gender-based differences in churn patterns.</w:t>
      </w:r>
    </w:p>
    <w:p w14:paraId="45D279F3">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Subscription Type</w:t>
      </w:r>
      <w:r>
        <w:rPr>
          <w:rFonts w:ascii="Times New Roman" w:hAnsi="Times New Roman" w:cs="Times New Roman"/>
          <w:sz w:val="24"/>
          <w:szCs w:val="24"/>
        </w:rPr>
        <w:t>: The overwhelming majority of respondents (</w:t>
      </w:r>
      <w:r>
        <w:rPr>
          <w:rFonts w:ascii="Times New Roman" w:hAnsi="Times New Roman" w:cs="Times New Roman"/>
          <w:b/>
          <w:bCs/>
          <w:sz w:val="24"/>
          <w:szCs w:val="24"/>
        </w:rPr>
        <w:t>79.5%</w:t>
      </w:r>
      <w:r>
        <w:rPr>
          <w:rFonts w:ascii="Times New Roman" w:hAnsi="Times New Roman" w:cs="Times New Roman"/>
          <w:sz w:val="24"/>
          <w:szCs w:val="24"/>
        </w:rPr>
        <w:t xml:space="preserve">) use </w:t>
      </w:r>
      <w:r>
        <w:rPr>
          <w:rFonts w:ascii="Times New Roman" w:hAnsi="Times New Roman" w:cs="Times New Roman"/>
          <w:b/>
          <w:bCs/>
          <w:sz w:val="24"/>
          <w:szCs w:val="24"/>
        </w:rPr>
        <w:t>Prepaid</w:t>
      </w:r>
      <w:r>
        <w:rPr>
          <w:rFonts w:ascii="Times New Roman" w:hAnsi="Times New Roman" w:cs="Times New Roman"/>
          <w:sz w:val="24"/>
          <w:szCs w:val="24"/>
        </w:rPr>
        <w:t xml:space="preserve"> services, while only </w:t>
      </w:r>
      <w:r>
        <w:rPr>
          <w:rFonts w:ascii="Times New Roman" w:hAnsi="Times New Roman" w:cs="Times New Roman"/>
          <w:b/>
          <w:bCs/>
          <w:sz w:val="24"/>
          <w:szCs w:val="24"/>
        </w:rPr>
        <w:t>20.5%</w:t>
      </w:r>
      <w:r>
        <w:rPr>
          <w:rFonts w:ascii="Times New Roman" w:hAnsi="Times New Roman" w:cs="Times New Roman"/>
          <w:sz w:val="24"/>
          <w:szCs w:val="24"/>
        </w:rPr>
        <w:t xml:space="preserve"> are </w:t>
      </w:r>
      <w:r>
        <w:rPr>
          <w:rFonts w:ascii="Times New Roman" w:hAnsi="Times New Roman" w:cs="Times New Roman"/>
          <w:b/>
          <w:bCs/>
          <w:sz w:val="24"/>
          <w:szCs w:val="24"/>
        </w:rPr>
        <w:t>Postpaid</w:t>
      </w:r>
      <w:r>
        <w:rPr>
          <w:rFonts w:ascii="Times New Roman" w:hAnsi="Times New Roman" w:cs="Times New Roman"/>
          <w:sz w:val="24"/>
          <w:szCs w:val="24"/>
        </w:rPr>
        <w:t xml:space="preserve"> subscribers. This is consistent with the Nigerian telecom market, where prepaid services dominate due to their flexibility and affordability. The postpaid customers, being fewer, might represent higher-income users or corporate clients, a factor that could influence churn differently across these segments.</w:t>
      </w:r>
    </w:p>
    <w:p w14:paraId="369D3ED0">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Occupation</w:t>
      </w:r>
      <w:r>
        <w:rPr>
          <w:rFonts w:ascii="Times New Roman" w:hAnsi="Times New Roman" w:cs="Times New Roman"/>
          <w:sz w:val="24"/>
          <w:szCs w:val="24"/>
        </w:rPr>
        <w:t xml:space="preserve">: The largest occupation category is </w:t>
      </w:r>
      <w:r>
        <w:rPr>
          <w:rFonts w:ascii="Times New Roman" w:hAnsi="Times New Roman" w:cs="Times New Roman"/>
          <w:b/>
          <w:bCs/>
          <w:sz w:val="24"/>
          <w:szCs w:val="24"/>
        </w:rPr>
        <w:t>Employed</w:t>
      </w:r>
      <w:r>
        <w:rPr>
          <w:rFonts w:ascii="Times New Roman" w:hAnsi="Times New Roman" w:cs="Times New Roman"/>
          <w:sz w:val="24"/>
          <w:szCs w:val="24"/>
        </w:rPr>
        <w:t xml:space="preserve"> individuals (</w:t>
      </w:r>
      <w:r>
        <w:rPr>
          <w:rFonts w:ascii="Times New Roman" w:hAnsi="Times New Roman" w:cs="Times New Roman"/>
          <w:b/>
          <w:bCs/>
          <w:sz w:val="24"/>
          <w:szCs w:val="24"/>
        </w:rPr>
        <w:t>33.2%</w:t>
      </w:r>
      <w:r>
        <w:rPr>
          <w:rFonts w:ascii="Times New Roman" w:hAnsi="Times New Roman" w:cs="Times New Roman"/>
          <w:sz w:val="24"/>
          <w:szCs w:val="24"/>
        </w:rPr>
        <w:t xml:space="preserve">), followed by </w:t>
      </w:r>
      <w:r>
        <w:rPr>
          <w:rFonts w:ascii="Times New Roman" w:hAnsi="Times New Roman" w:cs="Times New Roman"/>
          <w:b/>
          <w:bCs/>
          <w:sz w:val="24"/>
          <w:szCs w:val="24"/>
        </w:rPr>
        <w:t>Students</w:t>
      </w:r>
      <w:r>
        <w:rPr>
          <w:rFonts w:ascii="Times New Roman" w:hAnsi="Times New Roman" w:cs="Times New Roman"/>
          <w:sz w:val="24"/>
          <w:szCs w:val="24"/>
        </w:rPr>
        <w:t xml:space="preserve"> (</w:t>
      </w:r>
      <w:r>
        <w:rPr>
          <w:rFonts w:ascii="Times New Roman" w:hAnsi="Times New Roman" w:cs="Times New Roman"/>
          <w:b/>
          <w:bCs/>
          <w:sz w:val="24"/>
          <w:szCs w:val="24"/>
        </w:rPr>
        <w:t>30.4%</w:t>
      </w:r>
      <w:r>
        <w:rPr>
          <w:rFonts w:ascii="Times New Roman" w:hAnsi="Times New Roman" w:cs="Times New Roman"/>
          <w:sz w:val="24"/>
          <w:szCs w:val="24"/>
        </w:rPr>
        <w:t xml:space="preserve">). This suggests that a significant portion of the respondents are either young professionals or students, both of which are active mobile users. </w:t>
      </w:r>
      <w:r>
        <w:rPr>
          <w:rFonts w:ascii="Times New Roman" w:hAnsi="Times New Roman" w:cs="Times New Roman"/>
          <w:b/>
          <w:bCs/>
          <w:sz w:val="24"/>
          <w:szCs w:val="24"/>
        </w:rPr>
        <w:t>Self-employed</w:t>
      </w:r>
      <w:r>
        <w:rPr>
          <w:rFonts w:ascii="Times New Roman" w:hAnsi="Times New Roman" w:cs="Times New Roman"/>
          <w:sz w:val="24"/>
          <w:szCs w:val="24"/>
        </w:rPr>
        <w:t xml:space="preserve"> individuals make up </w:t>
      </w:r>
      <w:r>
        <w:rPr>
          <w:rFonts w:ascii="Times New Roman" w:hAnsi="Times New Roman" w:cs="Times New Roman"/>
          <w:b/>
          <w:bCs/>
          <w:sz w:val="24"/>
          <w:szCs w:val="24"/>
        </w:rPr>
        <w:t>21.7%</w:t>
      </w:r>
      <w:r>
        <w:rPr>
          <w:rFonts w:ascii="Times New Roman" w:hAnsi="Times New Roman" w:cs="Times New Roman"/>
          <w:sz w:val="24"/>
          <w:szCs w:val="24"/>
        </w:rPr>
        <w:t xml:space="preserve">, which might reflect entrepreneurial activities, while smaller percentages are observed for </w:t>
      </w:r>
      <w:r>
        <w:rPr>
          <w:rFonts w:ascii="Times New Roman" w:hAnsi="Times New Roman" w:cs="Times New Roman"/>
          <w:b/>
          <w:bCs/>
          <w:sz w:val="24"/>
          <w:szCs w:val="24"/>
        </w:rPr>
        <w:t>Retired</w:t>
      </w:r>
      <w:r>
        <w:rPr>
          <w:rFonts w:ascii="Times New Roman" w:hAnsi="Times New Roman" w:cs="Times New Roman"/>
          <w:sz w:val="24"/>
          <w:szCs w:val="24"/>
        </w:rPr>
        <w:t xml:space="preserve"> (6.0%) and </w:t>
      </w:r>
      <w:r>
        <w:rPr>
          <w:rFonts w:ascii="Times New Roman" w:hAnsi="Times New Roman" w:cs="Times New Roman"/>
          <w:b/>
          <w:bCs/>
          <w:sz w:val="24"/>
          <w:szCs w:val="24"/>
        </w:rPr>
        <w:t>Unemployed</w:t>
      </w:r>
      <w:r>
        <w:rPr>
          <w:rFonts w:ascii="Times New Roman" w:hAnsi="Times New Roman" w:cs="Times New Roman"/>
          <w:sz w:val="24"/>
          <w:szCs w:val="24"/>
        </w:rPr>
        <w:t xml:space="preserve"> (7.2%) respondents.</w:t>
      </w:r>
    </w:p>
    <w:p w14:paraId="32409899">
      <w:pPr>
        <w:numPr>
          <w:ilvl w:val="0"/>
          <w:numId w:val="1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Education Level</w:t>
      </w:r>
      <w:r>
        <w:rPr>
          <w:rFonts w:ascii="Times New Roman" w:hAnsi="Times New Roman" w:cs="Times New Roman"/>
          <w:sz w:val="24"/>
          <w:szCs w:val="24"/>
        </w:rPr>
        <w:t>: Nearly half of the respondents (</w:t>
      </w:r>
      <w:r>
        <w:rPr>
          <w:rFonts w:ascii="Times New Roman" w:hAnsi="Times New Roman" w:cs="Times New Roman"/>
          <w:b/>
          <w:bCs/>
          <w:sz w:val="24"/>
          <w:szCs w:val="24"/>
        </w:rPr>
        <w:t>47.7%</w:t>
      </w:r>
      <w:r>
        <w:rPr>
          <w:rFonts w:ascii="Times New Roman" w:hAnsi="Times New Roman" w:cs="Times New Roman"/>
          <w:sz w:val="24"/>
          <w:szCs w:val="24"/>
        </w:rPr>
        <w:t xml:space="preserve">) have an </w:t>
      </w:r>
      <w:r>
        <w:rPr>
          <w:rFonts w:ascii="Times New Roman" w:hAnsi="Times New Roman" w:cs="Times New Roman"/>
          <w:b/>
          <w:bCs/>
          <w:sz w:val="24"/>
          <w:szCs w:val="24"/>
        </w:rPr>
        <w:t>Undergraduate</w:t>
      </w:r>
      <w:r>
        <w:rPr>
          <w:rFonts w:ascii="Times New Roman" w:hAnsi="Times New Roman" w:cs="Times New Roman"/>
          <w:sz w:val="24"/>
          <w:szCs w:val="24"/>
        </w:rPr>
        <w:t xml:space="preserve"> level of education, indicating a relatively educated user base. </w:t>
      </w:r>
      <w:r>
        <w:rPr>
          <w:rFonts w:ascii="Times New Roman" w:hAnsi="Times New Roman" w:cs="Times New Roman"/>
          <w:b/>
          <w:bCs/>
          <w:sz w:val="24"/>
          <w:szCs w:val="24"/>
        </w:rPr>
        <w:t>Postgraduate</w:t>
      </w:r>
      <w:r>
        <w:rPr>
          <w:rFonts w:ascii="Times New Roman" w:hAnsi="Times New Roman" w:cs="Times New Roman"/>
          <w:sz w:val="24"/>
          <w:szCs w:val="24"/>
        </w:rPr>
        <w:t xml:space="preserve"> degree holders make up </w:t>
      </w:r>
      <w:r>
        <w:rPr>
          <w:rFonts w:ascii="Times New Roman" w:hAnsi="Times New Roman" w:cs="Times New Roman"/>
          <w:b/>
          <w:bCs/>
          <w:sz w:val="24"/>
          <w:szCs w:val="24"/>
        </w:rPr>
        <w:t>21.7%</w:t>
      </w:r>
      <w:r>
        <w:rPr>
          <w:rFonts w:ascii="Times New Roman" w:hAnsi="Times New Roman" w:cs="Times New Roman"/>
          <w:sz w:val="24"/>
          <w:szCs w:val="24"/>
        </w:rPr>
        <w:t xml:space="preserve">, while </w:t>
      </w:r>
      <w:r>
        <w:rPr>
          <w:rFonts w:ascii="Times New Roman" w:hAnsi="Times New Roman" w:cs="Times New Roman"/>
          <w:b/>
          <w:bCs/>
          <w:sz w:val="24"/>
          <w:szCs w:val="24"/>
        </w:rPr>
        <w:t>26.0%</w:t>
      </w:r>
      <w:r>
        <w:rPr>
          <w:rFonts w:ascii="Times New Roman" w:hAnsi="Times New Roman" w:cs="Times New Roman"/>
          <w:sz w:val="24"/>
          <w:szCs w:val="24"/>
        </w:rPr>
        <w:t xml:space="preserve"> have completed only </w:t>
      </w:r>
      <w:r>
        <w:rPr>
          <w:rFonts w:ascii="Times New Roman" w:hAnsi="Times New Roman" w:cs="Times New Roman"/>
          <w:b/>
          <w:bCs/>
          <w:sz w:val="24"/>
          <w:szCs w:val="24"/>
        </w:rPr>
        <w:t>High School</w:t>
      </w:r>
      <w:r>
        <w:rPr>
          <w:rFonts w:ascii="Times New Roman" w:hAnsi="Times New Roman" w:cs="Times New Roman"/>
          <w:sz w:val="24"/>
          <w:szCs w:val="24"/>
        </w:rPr>
        <w:t>. This range of education levels provides a broad spectrum for analysis, as education may correlate with mobile service preferences and satisfaction.</w:t>
      </w:r>
    </w:p>
    <w:p w14:paraId="732AF23B">
      <w:pPr>
        <w:pStyle w:val="5"/>
        <w:bidi w:val="0"/>
        <w:spacing w:line="360" w:lineRule="auto"/>
        <w:jc w:val="center"/>
        <w:rPr>
          <w:rFonts w:ascii="Times New Roman" w:hAnsi="Times New Roman" w:cs="Times New Roman"/>
          <w:b/>
          <w:bCs/>
          <w:szCs w:val="24"/>
        </w:rPr>
      </w:pPr>
      <w:r>
        <w:t>Table 4.</w:t>
      </w:r>
      <w:r>
        <w:rPr>
          <w:rFonts w:hint="default"/>
          <w:lang w:val="en-US"/>
        </w:rPr>
        <w:t>1.</w:t>
      </w:r>
      <w:r>
        <w:t>3 Service Usage Distribution of Respondents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200"/>
        <w:gridCol w:w="1977"/>
        <w:gridCol w:w="1204"/>
        <w:gridCol w:w="1733"/>
      </w:tblGrid>
      <w:tr w14:paraId="5770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vAlign w:val="center"/>
          </w:tcPr>
          <w:p w14:paraId="519BBAA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Service Usage Variable</w:t>
            </w:r>
          </w:p>
        </w:tc>
        <w:tc>
          <w:tcPr>
            <w:tcW w:w="0" w:type="auto"/>
            <w:vAlign w:val="center"/>
          </w:tcPr>
          <w:p w14:paraId="5E5508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0" w:type="auto"/>
            <w:vAlign w:val="center"/>
          </w:tcPr>
          <w:p w14:paraId="7F2334C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04AC0CB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BB2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CAA2D38">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Average Monthly Spending (₦)</w:t>
            </w:r>
          </w:p>
        </w:tc>
        <w:tc>
          <w:tcPr>
            <w:tcW w:w="0" w:type="auto"/>
            <w:vAlign w:val="center"/>
          </w:tcPr>
          <w:p w14:paraId="7795828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₦1,000 - ₦5,000</w:t>
            </w:r>
          </w:p>
        </w:tc>
        <w:tc>
          <w:tcPr>
            <w:tcW w:w="0" w:type="auto"/>
            <w:vAlign w:val="center"/>
          </w:tcPr>
          <w:p w14:paraId="3DBC5B7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839</w:t>
            </w:r>
          </w:p>
        </w:tc>
        <w:tc>
          <w:tcPr>
            <w:tcW w:w="0" w:type="auto"/>
            <w:vAlign w:val="center"/>
          </w:tcPr>
          <w:p w14:paraId="7E0CCA1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60.7%</w:t>
            </w:r>
          </w:p>
        </w:tc>
      </w:tr>
      <w:tr w14:paraId="5A48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DCD4729">
            <w:pPr>
              <w:spacing w:after="0" w:line="360" w:lineRule="auto"/>
              <w:jc w:val="center"/>
              <w:rPr>
                <w:rFonts w:ascii="Times New Roman" w:hAnsi="Times New Roman" w:cs="Times New Roman"/>
                <w:sz w:val="24"/>
                <w:szCs w:val="24"/>
              </w:rPr>
            </w:pPr>
          </w:p>
        </w:tc>
        <w:tc>
          <w:tcPr>
            <w:tcW w:w="0" w:type="auto"/>
            <w:vAlign w:val="center"/>
          </w:tcPr>
          <w:p w14:paraId="172FAD7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₦5,001 - ₦10,000</w:t>
            </w:r>
          </w:p>
        </w:tc>
        <w:tc>
          <w:tcPr>
            <w:tcW w:w="0" w:type="auto"/>
            <w:vAlign w:val="center"/>
          </w:tcPr>
          <w:p w14:paraId="1B1F53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0" w:type="auto"/>
            <w:vAlign w:val="center"/>
          </w:tcPr>
          <w:p w14:paraId="1BDBCCB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5AD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B257B12">
            <w:pPr>
              <w:spacing w:after="0" w:line="360" w:lineRule="auto"/>
              <w:jc w:val="center"/>
              <w:rPr>
                <w:rFonts w:ascii="Times New Roman" w:hAnsi="Times New Roman" w:cs="Times New Roman"/>
                <w:sz w:val="24"/>
                <w:szCs w:val="24"/>
              </w:rPr>
            </w:pPr>
          </w:p>
        </w:tc>
        <w:tc>
          <w:tcPr>
            <w:tcW w:w="0" w:type="auto"/>
            <w:vAlign w:val="center"/>
          </w:tcPr>
          <w:p w14:paraId="27EF40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₦10,001 - ₦20,000</w:t>
            </w:r>
          </w:p>
        </w:tc>
        <w:tc>
          <w:tcPr>
            <w:tcW w:w="0" w:type="auto"/>
            <w:vAlign w:val="center"/>
          </w:tcPr>
          <w:p w14:paraId="208381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140</w:t>
            </w:r>
          </w:p>
        </w:tc>
        <w:tc>
          <w:tcPr>
            <w:tcW w:w="0" w:type="auto"/>
            <w:vAlign w:val="center"/>
          </w:tcPr>
          <w:p w14:paraId="700715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10.1%</w:t>
            </w:r>
          </w:p>
        </w:tc>
      </w:tr>
      <w:tr w14:paraId="1E86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59F5664">
            <w:pPr>
              <w:spacing w:after="0" w:line="360" w:lineRule="auto"/>
              <w:jc w:val="center"/>
              <w:rPr>
                <w:rFonts w:ascii="Times New Roman" w:hAnsi="Times New Roman" w:cs="Times New Roman"/>
                <w:sz w:val="24"/>
                <w:szCs w:val="24"/>
              </w:rPr>
            </w:pPr>
          </w:p>
        </w:tc>
        <w:tc>
          <w:tcPr>
            <w:tcW w:w="0" w:type="auto"/>
            <w:vAlign w:val="center"/>
          </w:tcPr>
          <w:p w14:paraId="2CC229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₦20,001+</w:t>
            </w:r>
          </w:p>
        </w:tc>
        <w:tc>
          <w:tcPr>
            <w:tcW w:w="0" w:type="auto"/>
            <w:vAlign w:val="center"/>
          </w:tcPr>
          <w:p w14:paraId="2FBA02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0" w:type="auto"/>
            <w:vAlign w:val="center"/>
          </w:tcPr>
          <w:p w14:paraId="0E0630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14:paraId="65F8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155" w:type="dxa"/>
            <w:vAlign w:val="center"/>
          </w:tcPr>
          <w:p w14:paraId="6E1B361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947" w:type="dxa"/>
            <w:vAlign w:val="center"/>
          </w:tcPr>
          <w:p w14:paraId="0EC0F91A">
            <w:pPr>
              <w:spacing w:after="0" w:line="360" w:lineRule="auto"/>
              <w:jc w:val="center"/>
              <w:rPr>
                <w:rFonts w:ascii="Times New Roman" w:hAnsi="Times New Roman" w:cs="Times New Roman"/>
                <w:sz w:val="24"/>
                <w:szCs w:val="24"/>
              </w:rPr>
            </w:pPr>
          </w:p>
        </w:tc>
        <w:tc>
          <w:tcPr>
            <w:tcW w:w="1174" w:type="dxa"/>
            <w:vAlign w:val="center"/>
          </w:tcPr>
          <w:p w14:paraId="0772733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49311C9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7BC2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792283B">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Contract Length (Months)</w:t>
            </w:r>
          </w:p>
        </w:tc>
        <w:tc>
          <w:tcPr>
            <w:tcW w:w="0" w:type="auto"/>
            <w:vAlign w:val="center"/>
          </w:tcPr>
          <w:p w14:paraId="7D1E2B5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1 - 12 months</w:t>
            </w:r>
          </w:p>
        </w:tc>
        <w:tc>
          <w:tcPr>
            <w:tcW w:w="0" w:type="auto"/>
            <w:vAlign w:val="center"/>
          </w:tcPr>
          <w:p w14:paraId="09715C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0" w:type="auto"/>
            <w:vAlign w:val="center"/>
          </w:tcPr>
          <w:p w14:paraId="5CE9432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72.3%</w:t>
            </w:r>
          </w:p>
        </w:tc>
      </w:tr>
      <w:tr w14:paraId="3FCC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9EFC036">
            <w:pPr>
              <w:spacing w:after="0" w:line="360" w:lineRule="auto"/>
              <w:jc w:val="center"/>
              <w:rPr>
                <w:rFonts w:ascii="Times New Roman" w:hAnsi="Times New Roman" w:cs="Times New Roman"/>
                <w:sz w:val="24"/>
                <w:szCs w:val="24"/>
              </w:rPr>
            </w:pPr>
          </w:p>
        </w:tc>
        <w:tc>
          <w:tcPr>
            <w:tcW w:w="0" w:type="auto"/>
            <w:vAlign w:val="center"/>
          </w:tcPr>
          <w:p w14:paraId="7DADC64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13 - 24 months</w:t>
            </w:r>
          </w:p>
        </w:tc>
        <w:tc>
          <w:tcPr>
            <w:tcW w:w="0" w:type="auto"/>
            <w:vAlign w:val="center"/>
          </w:tcPr>
          <w:p w14:paraId="0E9CC34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241</w:t>
            </w:r>
          </w:p>
        </w:tc>
        <w:tc>
          <w:tcPr>
            <w:tcW w:w="0" w:type="auto"/>
            <w:vAlign w:val="center"/>
          </w:tcPr>
          <w:p w14:paraId="2EFD204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14:paraId="1DB5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2E4DCE5">
            <w:pPr>
              <w:spacing w:after="0" w:line="360" w:lineRule="auto"/>
              <w:jc w:val="center"/>
              <w:rPr>
                <w:rFonts w:ascii="Times New Roman" w:hAnsi="Times New Roman" w:cs="Times New Roman"/>
                <w:sz w:val="24"/>
                <w:szCs w:val="24"/>
              </w:rPr>
            </w:pPr>
          </w:p>
        </w:tc>
        <w:tc>
          <w:tcPr>
            <w:tcW w:w="0" w:type="auto"/>
            <w:vAlign w:val="center"/>
          </w:tcPr>
          <w:p w14:paraId="40FAF9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25 - 36 months</w:t>
            </w:r>
          </w:p>
        </w:tc>
        <w:tc>
          <w:tcPr>
            <w:tcW w:w="0" w:type="auto"/>
            <w:vAlign w:val="center"/>
          </w:tcPr>
          <w:p w14:paraId="775131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0" w:type="auto"/>
            <w:vAlign w:val="center"/>
          </w:tcPr>
          <w:p w14:paraId="00F3A2B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7.4%</w:t>
            </w:r>
          </w:p>
        </w:tc>
      </w:tr>
      <w:tr w14:paraId="0D67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62F11B1">
            <w:pPr>
              <w:spacing w:after="0" w:line="360" w:lineRule="auto"/>
              <w:jc w:val="center"/>
              <w:rPr>
                <w:rFonts w:ascii="Times New Roman" w:hAnsi="Times New Roman" w:cs="Times New Roman"/>
                <w:sz w:val="24"/>
                <w:szCs w:val="24"/>
              </w:rPr>
            </w:pPr>
          </w:p>
        </w:tc>
        <w:tc>
          <w:tcPr>
            <w:tcW w:w="0" w:type="auto"/>
            <w:vAlign w:val="center"/>
          </w:tcPr>
          <w:p w14:paraId="16C6884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37+ months</w:t>
            </w:r>
          </w:p>
        </w:tc>
        <w:tc>
          <w:tcPr>
            <w:tcW w:w="0" w:type="auto"/>
            <w:vAlign w:val="center"/>
          </w:tcPr>
          <w:p w14:paraId="596808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0" w:type="auto"/>
            <w:vAlign w:val="center"/>
          </w:tcPr>
          <w:p w14:paraId="070CB4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2.9%</w:t>
            </w:r>
          </w:p>
        </w:tc>
      </w:tr>
      <w:tr w14:paraId="77A3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7D6E9E4">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0" w:type="auto"/>
            <w:vAlign w:val="center"/>
          </w:tcPr>
          <w:p w14:paraId="1AD79F8E">
            <w:pPr>
              <w:spacing w:after="0" w:line="360" w:lineRule="auto"/>
              <w:jc w:val="center"/>
              <w:rPr>
                <w:rFonts w:ascii="Times New Roman" w:hAnsi="Times New Roman" w:cs="Times New Roman"/>
                <w:sz w:val="24"/>
                <w:szCs w:val="24"/>
              </w:rPr>
            </w:pPr>
          </w:p>
        </w:tc>
        <w:tc>
          <w:tcPr>
            <w:tcW w:w="0" w:type="auto"/>
            <w:vAlign w:val="center"/>
          </w:tcPr>
          <w:p w14:paraId="5D10C84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67DF2BE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84848E7">
      <w:pPr>
        <w:spacing w:after="0" w:line="360" w:lineRule="auto"/>
        <w:jc w:val="both"/>
        <w:rPr>
          <w:rFonts w:ascii="Times New Roman" w:hAnsi="Times New Roman" w:cs="Times New Roman"/>
          <w:sz w:val="24"/>
          <w:szCs w:val="24"/>
        </w:rPr>
      </w:pPr>
    </w:p>
    <w:p w14:paraId="26EA53F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06A33519">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Average Monthly Spending</w:t>
      </w:r>
      <w:r>
        <w:rPr>
          <w:rFonts w:ascii="Times New Roman" w:hAnsi="Times New Roman" w:cs="Times New Roman"/>
          <w:sz w:val="24"/>
          <w:szCs w:val="24"/>
        </w:rPr>
        <w:t>: The majority of respondents (</w:t>
      </w:r>
      <w:r>
        <w:rPr>
          <w:rFonts w:ascii="Times New Roman" w:hAnsi="Times New Roman" w:cs="Times New Roman"/>
          <w:b/>
          <w:bCs/>
          <w:sz w:val="24"/>
          <w:szCs w:val="24"/>
        </w:rPr>
        <w:t>60.7%</w:t>
      </w:r>
      <w:r>
        <w:rPr>
          <w:rFonts w:ascii="Times New Roman" w:hAnsi="Times New Roman" w:cs="Times New Roman"/>
          <w:sz w:val="24"/>
          <w:szCs w:val="24"/>
        </w:rPr>
        <w:t xml:space="preserve">) spend between </w:t>
      </w:r>
      <w:r>
        <w:rPr>
          <w:rFonts w:ascii="Times New Roman" w:hAnsi="Times New Roman" w:cs="Times New Roman"/>
          <w:b/>
          <w:bCs/>
          <w:sz w:val="24"/>
          <w:szCs w:val="24"/>
        </w:rPr>
        <w:t>₦1,000 - ₦5,000</w:t>
      </w:r>
      <w:r>
        <w:rPr>
          <w:rFonts w:ascii="Times New Roman" w:hAnsi="Times New Roman" w:cs="Times New Roman"/>
          <w:sz w:val="24"/>
          <w:szCs w:val="24"/>
        </w:rPr>
        <w:t xml:space="preserve"> monthly, highlighting that most users fall within a lower spending range, typical of prepaid customers. Only a small fraction (</w:t>
      </w:r>
      <w:r>
        <w:rPr>
          <w:rFonts w:ascii="Times New Roman" w:hAnsi="Times New Roman" w:cs="Times New Roman"/>
          <w:b/>
          <w:bCs/>
          <w:sz w:val="24"/>
          <w:szCs w:val="24"/>
        </w:rPr>
        <w:t>3.2%</w:t>
      </w:r>
      <w:r>
        <w:rPr>
          <w:rFonts w:ascii="Times New Roman" w:hAnsi="Times New Roman" w:cs="Times New Roman"/>
          <w:sz w:val="24"/>
          <w:szCs w:val="24"/>
        </w:rPr>
        <w:t xml:space="preserve">) spend over </w:t>
      </w:r>
      <w:r>
        <w:rPr>
          <w:rFonts w:ascii="Times New Roman" w:hAnsi="Times New Roman" w:cs="Times New Roman"/>
          <w:b/>
          <w:bCs/>
          <w:sz w:val="24"/>
          <w:szCs w:val="24"/>
        </w:rPr>
        <w:t>₦20,001</w:t>
      </w:r>
      <w:r>
        <w:rPr>
          <w:rFonts w:ascii="Times New Roman" w:hAnsi="Times New Roman" w:cs="Times New Roman"/>
          <w:sz w:val="24"/>
          <w:szCs w:val="24"/>
        </w:rPr>
        <w:t>, representing a premium user base.</w:t>
      </w:r>
    </w:p>
    <w:p w14:paraId="63994324">
      <w:pPr>
        <w:numPr>
          <w:ilvl w:val="0"/>
          <w:numId w:val="12"/>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Contract Length</w:t>
      </w:r>
      <w:r>
        <w:rPr>
          <w:rFonts w:ascii="Times New Roman" w:hAnsi="Times New Roman" w:cs="Times New Roman"/>
          <w:sz w:val="24"/>
          <w:szCs w:val="24"/>
        </w:rPr>
        <w:t>: Most respondents (</w:t>
      </w:r>
      <w:r>
        <w:rPr>
          <w:rFonts w:ascii="Times New Roman" w:hAnsi="Times New Roman" w:cs="Times New Roman"/>
          <w:b/>
          <w:bCs/>
          <w:sz w:val="24"/>
          <w:szCs w:val="24"/>
        </w:rPr>
        <w:t>72.3%</w:t>
      </w:r>
      <w:r>
        <w:rPr>
          <w:rFonts w:ascii="Times New Roman" w:hAnsi="Times New Roman" w:cs="Times New Roman"/>
          <w:sz w:val="24"/>
          <w:szCs w:val="24"/>
        </w:rPr>
        <w:t xml:space="preserve">) have had contracts or subscriptions for </w:t>
      </w:r>
      <w:r>
        <w:rPr>
          <w:rFonts w:ascii="Times New Roman" w:hAnsi="Times New Roman" w:cs="Times New Roman"/>
          <w:b/>
          <w:bCs/>
          <w:sz w:val="24"/>
          <w:szCs w:val="24"/>
        </w:rPr>
        <w:t>1 - 12 months</w:t>
      </w:r>
      <w:r>
        <w:rPr>
          <w:rFonts w:ascii="Times New Roman" w:hAnsi="Times New Roman" w:cs="Times New Roman"/>
          <w:sz w:val="24"/>
          <w:szCs w:val="24"/>
        </w:rPr>
        <w:t xml:space="preserve">, which aligns with the high churn rates typically seen in short-term engagements. Only </w:t>
      </w:r>
      <w:r>
        <w:rPr>
          <w:rFonts w:ascii="Times New Roman" w:hAnsi="Times New Roman" w:cs="Times New Roman"/>
          <w:b/>
          <w:bCs/>
          <w:sz w:val="24"/>
          <w:szCs w:val="24"/>
        </w:rPr>
        <w:t>2.9%</w:t>
      </w:r>
      <w:r>
        <w:rPr>
          <w:rFonts w:ascii="Times New Roman" w:hAnsi="Times New Roman" w:cs="Times New Roman"/>
          <w:sz w:val="24"/>
          <w:szCs w:val="24"/>
        </w:rPr>
        <w:t xml:space="preserve"> have been subscribed for over </w:t>
      </w:r>
      <w:r>
        <w:rPr>
          <w:rFonts w:ascii="Times New Roman" w:hAnsi="Times New Roman" w:cs="Times New Roman"/>
          <w:b/>
          <w:bCs/>
          <w:sz w:val="24"/>
          <w:szCs w:val="24"/>
        </w:rPr>
        <w:t>37 months</w:t>
      </w:r>
      <w:r>
        <w:rPr>
          <w:rFonts w:ascii="Times New Roman" w:hAnsi="Times New Roman" w:cs="Times New Roman"/>
          <w:sz w:val="24"/>
          <w:szCs w:val="24"/>
        </w:rPr>
        <w:t>, suggesting a limited long-term customer base.</w:t>
      </w:r>
    </w:p>
    <w:p w14:paraId="09B1B83D">
      <w:pPr>
        <w:pStyle w:val="5"/>
        <w:bidi w:val="0"/>
        <w:spacing w:line="360" w:lineRule="auto"/>
        <w:jc w:val="center"/>
        <w:rPr>
          <w:rFonts w:ascii="Times New Roman" w:hAnsi="Times New Roman" w:cs="Times New Roman"/>
          <w:b/>
          <w:bCs/>
          <w:szCs w:val="24"/>
        </w:rPr>
      </w:pPr>
      <w:r>
        <w:t>Table 4.</w:t>
      </w:r>
      <w:r>
        <w:rPr>
          <w:rFonts w:hint="default"/>
          <w:lang w:val="en-US"/>
        </w:rPr>
        <w:t>1.</w:t>
      </w:r>
      <w:r>
        <w:t>4</w:t>
      </w:r>
      <w:r>
        <w:rPr>
          <w:rFonts w:hint="default"/>
          <w:lang w:val="en-US"/>
        </w:rPr>
        <w:t xml:space="preserve"> </w:t>
      </w:r>
      <w:r>
        <w:t>Monthly Call Duration, Data Usage and Communication Method</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327"/>
        <w:gridCol w:w="2030"/>
        <w:gridCol w:w="1204"/>
        <w:gridCol w:w="1733"/>
      </w:tblGrid>
      <w:tr w14:paraId="5BFC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1F5AED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Service Usage Variable</w:t>
            </w:r>
          </w:p>
        </w:tc>
        <w:tc>
          <w:tcPr>
            <w:tcW w:w="0" w:type="auto"/>
            <w:vAlign w:val="center"/>
          </w:tcPr>
          <w:p w14:paraId="4940334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0" w:type="auto"/>
            <w:vAlign w:val="center"/>
          </w:tcPr>
          <w:p w14:paraId="3EFD3E0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1442A6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25C7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0A15F60">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Monthly Call Duration</w:t>
            </w:r>
          </w:p>
        </w:tc>
        <w:tc>
          <w:tcPr>
            <w:tcW w:w="0" w:type="auto"/>
            <w:vAlign w:val="center"/>
          </w:tcPr>
          <w:p w14:paraId="49D48BB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0 - 200 minutes</w:t>
            </w:r>
          </w:p>
        </w:tc>
        <w:tc>
          <w:tcPr>
            <w:tcW w:w="0" w:type="auto"/>
            <w:vAlign w:val="center"/>
          </w:tcPr>
          <w:p w14:paraId="7A00BA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701</w:t>
            </w:r>
          </w:p>
        </w:tc>
        <w:tc>
          <w:tcPr>
            <w:tcW w:w="0" w:type="auto"/>
            <w:vAlign w:val="center"/>
          </w:tcPr>
          <w:p w14:paraId="090F29E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50.6%</w:t>
            </w:r>
          </w:p>
        </w:tc>
      </w:tr>
      <w:tr w14:paraId="31C8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A94E349">
            <w:pPr>
              <w:spacing w:after="0" w:line="360" w:lineRule="auto"/>
              <w:jc w:val="center"/>
              <w:rPr>
                <w:rFonts w:ascii="Times New Roman" w:hAnsi="Times New Roman" w:cs="Times New Roman"/>
                <w:sz w:val="24"/>
                <w:szCs w:val="24"/>
              </w:rPr>
            </w:pPr>
          </w:p>
        </w:tc>
        <w:tc>
          <w:tcPr>
            <w:tcW w:w="0" w:type="auto"/>
            <w:vAlign w:val="center"/>
          </w:tcPr>
          <w:p w14:paraId="6CE063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201 - 500 minutes</w:t>
            </w:r>
          </w:p>
        </w:tc>
        <w:tc>
          <w:tcPr>
            <w:tcW w:w="0" w:type="auto"/>
            <w:vAlign w:val="center"/>
          </w:tcPr>
          <w:p w14:paraId="77513D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0" w:type="auto"/>
            <w:vAlign w:val="center"/>
          </w:tcPr>
          <w:p w14:paraId="02AC947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6CE2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8768033">
            <w:pPr>
              <w:spacing w:after="0" w:line="360" w:lineRule="auto"/>
              <w:jc w:val="center"/>
              <w:rPr>
                <w:rFonts w:ascii="Times New Roman" w:hAnsi="Times New Roman" w:cs="Times New Roman"/>
                <w:sz w:val="24"/>
                <w:szCs w:val="24"/>
              </w:rPr>
            </w:pPr>
          </w:p>
        </w:tc>
        <w:tc>
          <w:tcPr>
            <w:tcW w:w="0" w:type="auto"/>
            <w:vAlign w:val="center"/>
          </w:tcPr>
          <w:p w14:paraId="75212F9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501 - 1,000 minutes</w:t>
            </w:r>
          </w:p>
        </w:tc>
        <w:tc>
          <w:tcPr>
            <w:tcW w:w="0" w:type="auto"/>
            <w:vAlign w:val="center"/>
          </w:tcPr>
          <w:p w14:paraId="152BB8D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189</w:t>
            </w:r>
          </w:p>
        </w:tc>
        <w:tc>
          <w:tcPr>
            <w:tcW w:w="0" w:type="auto"/>
            <w:vAlign w:val="center"/>
          </w:tcPr>
          <w:p w14:paraId="495F6CE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13.7%</w:t>
            </w:r>
          </w:p>
        </w:tc>
      </w:tr>
      <w:tr w14:paraId="43E2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26AEEC3">
            <w:pPr>
              <w:spacing w:after="0" w:line="360" w:lineRule="auto"/>
              <w:jc w:val="center"/>
              <w:rPr>
                <w:rFonts w:ascii="Times New Roman" w:hAnsi="Times New Roman" w:cs="Times New Roman"/>
                <w:sz w:val="24"/>
                <w:szCs w:val="24"/>
              </w:rPr>
            </w:pPr>
          </w:p>
        </w:tc>
        <w:tc>
          <w:tcPr>
            <w:tcW w:w="0" w:type="auto"/>
            <w:vAlign w:val="center"/>
          </w:tcPr>
          <w:p w14:paraId="1B567FD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1,001+ minutes</w:t>
            </w:r>
          </w:p>
        </w:tc>
        <w:tc>
          <w:tcPr>
            <w:tcW w:w="0" w:type="auto"/>
            <w:vAlign w:val="center"/>
          </w:tcPr>
          <w:p w14:paraId="60731C2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vAlign w:val="center"/>
          </w:tcPr>
          <w:p w14:paraId="3B0B846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14:paraId="7F19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282" w:type="dxa"/>
            <w:vAlign w:val="center"/>
          </w:tcPr>
          <w:p w14:paraId="66DB20F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2000" w:type="dxa"/>
            <w:vAlign w:val="center"/>
          </w:tcPr>
          <w:p w14:paraId="3F6E969F">
            <w:pPr>
              <w:spacing w:after="0" w:line="360" w:lineRule="auto"/>
              <w:jc w:val="center"/>
              <w:rPr>
                <w:rFonts w:ascii="Times New Roman" w:hAnsi="Times New Roman" w:cs="Times New Roman"/>
                <w:sz w:val="24"/>
                <w:szCs w:val="24"/>
              </w:rPr>
            </w:pPr>
          </w:p>
        </w:tc>
        <w:tc>
          <w:tcPr>
            <w:tcW w:w="1174" w:type="dxa"/>
            <w:vAlign w:val="center"/>
          </w:tcPr>
          <w:p w14:paraId="57468E8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186DA94D">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7E7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194A135">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Monthly Data Usage</w:t>
            </w:r>
          </w:p>
        </w:tc>
        <w:tc>
          <w:tcPr>
            <w:tcW w:w="0" w:type="auto"/>
            <w:vAlign w:val="center"/>
          </w:tcPr>
          <w:p w14:paraId="6DF96F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0 - 5 GB</w:t>
            </w:r>
          </w:p>
        </w:tc>
        <w:tc>
          <w:tcPr>
            <w:tcW w:w="0" w:type="auto"/>
            <w:vAlign w:val="center"/>
          </w:tcPr>
          <w:p w14:paraId="15292F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560</w:t>
            </w:r>
          </w:p>
        </w:tc>
        <w:tc>
          <w:tcPr>
            <w:tcW w:w="0" w:type="auto"/>
            <w:vAlign w:val="center"/>
          </w:tcPr>
          <w:p w14:paraId="67FD60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40.5%</w:t>
            </w:r>
          </w:p>
        </w:tc>
      </w:tr>
      <w:tr w14:paraId="66B4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F768B6D">
            <w:pPr>
              <w:spacing w:after="0" w:line="360" w:lineRule="auto"/>
              <w:jc w:val="center"/>
              <w:rPr>
                <w:rFonts w:ascii="Times New Roman" w:hAnsi="Times New Roman" w:cs="Times New Roman"/>
                <w:sz w:val="24"/>
                <w:szCs w:val="24"/>
              </w:rPr>
            </w:pPr>
          </w:p>
        </w:tc>
        <w:tc>
          <w:tcPr>
            <w:tcW w:w="0" w:type="auto"/>
            <w:vAlign w:val="center"/>
          </w:tcPr>
          <w:p w14:paraId="31CFCDC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6 - 15 GB</w:t>
            </w:r>
          </w:p>
        </w:tc>
        <w:tc>
          <w:tcPr>
            <w:tcW w:w="0" w:type="auto"/>
            <w:vAlign w:val="center"/>
          </w:tcPr>
          <w:p w14:paraId="0C155A6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0" w:type="auto"/>
            <w:vAlign w:val="center"/>
          </w:tcPr>
          <w:p w14:paraId="2A38F8F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36.2%</w:t>
            </w:r>
          </w:p>
        </w:tc>
      </w:tr>
      <w:tr w14:paraId="4484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5FCC094">
            <w:pPr>
              <w:spacing w:after="0" w:line="360" w:lineRule="auto"/>
              <w:jc w:val="center"/>
              <w:rPr>
                <w:rFonts w:ascii="Times New Roman" w:hAnsi="Times New Roman" w:cs="Times New Roman"/>
                <w:sz w:val="24"/>
                <w:szCs w:val="24"/>
              </w:rPr>
            </w:pPr>
          </w:p>
        </w:tc>
        <w:tc>
          <w:tcPr>
            <w:tcW w:w="0" w:type="auto"/>
            <w:vAlign w:val="center"/>
          </w:tcPr>
          <w:p w14:paraId="3C74C8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16 - 30 GB</w:t>
            </w:r>
          </w:p>
        </w:tc>
        <w:tc>
          <w:tcPr>
            <w:tcW w:w="0" w:type="auto"/>
            <w:vAlign w:val="center"/>
          </w:tcPr>
          <w:p w14:paraId="674E14A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250</w:t>
            </w:r>
          </w:p>
        </w:tc>
        <w:tc>
          <w:tcPr>
            <w:tcW w:w="0" w:type="auto"/>
            <w:vAlign w:val="center"/>
          </w:tcPr>
          <w:p w14:paraId="397B269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18.1%</w:t>
            </w:r>
          </w:p>
        </w:tc>
      </w:tr>
      <w:tr w14:paraId="5C52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829C5E2">
            <w:pPr>
              <w:spacing w:after="0" w:line="360" w:lineRule="auto"/>
              <w:jc w:val="center"/>
              <w:rPr>
                <w:rFonts w:ascii="Times New Roman" w:hAnsi="Times New Roman" w:cs="Times New Roman"/>
                <w:sz w:val="24"/>
                <w:szCs w:val="24"/>
              </w:rPr>
            </w:pPr>
          </w:p>
        </w:tc>
        <w:tc>
          <w:tcPr>
            <w:tcW w:w="0" w:type="auto"/>
            <w:vAlign w:val="center"/>
          </w:tcPr>
          <w:p w14:paraId="359947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 GB</w:t>
            </w:r>
          </w:p>
        </w:tc>
        <w:tc>
          <w:tcPr>
            <w:tcW w:w="0" w:type="auto"/>
            <w:vAlign w:val="center"/>
          </w:tcPr>
          <w:p w14:paraId="5464F9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vAlign w:val="center"/>
          </w:tcPr>
          <w:p w14:paraId="40B78AB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14:paraId="4165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282" w:type="dxa"/>
            <w:vAlign w:val="center"/>
          </w:tcPr>
          <w:p w14:paraId="1C56B2D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2000" w:type="dxa"/>
            <w:vAlign w:val="center"/>
          </w:tcPr>
          <w:p w14:paraId="16A8F52D">
            <w:pPr>
              <w:spacing w:after="0" w:line="360" w:lineRule="auto"/>
              <w:jc w:val="center"/>
              <w:rPr>
                <w:rFonts w:ascii="Times New Roman" w:hAnsi="Times New Roman" w:cs="Times New Roman"/>
                <w:sz w:val="24"/>
                <w:szCs w:val="24"/>
              </w:rPr>
            </w:pPr>
          </w:p>
        </w:tc>
        <w:tc>
          <w:tcPr>
            <w:tcW w:w="1174" w:type="dxa"/>
            <w:vAlign w:val="center"/>
          </w:tcPr>
          <w:p w14:paraId="622201C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08C2795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1654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A0533EA">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Primary Communication Method</w:t>
            </w:r>
          </w:p>
        </w:tc>
        <w:tc>
          <w:tcPr>
            <w:tcW w:w="0" w:type="auto"/>
            <w:vAlign w:val="center"/>
          </w:tcPr>
          <w:p w14:paraId="14A58C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Voice Calls</w:t>
            </w:r>
          </w:p>
        </w:tc>
        <w:tc>
          <w:tcPr>
            <w:tcW w:w="0" w:type="auto"/>
            <w:vAlign w:val="center"/>
          </w:tcPr>
          <w:p w14:paraId="2E0CB57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640</w:t>
            </w:r>
          </w:p>
        </w:tc>
        <w:tc>
          <w:tcPr>
            <w:tcW w:w="0" w:type="auto"/>
            <w:vAlign w:val="center"/>
          </w:tcPr>
          <w:p w14:paraId="389A665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46.3%</w:t>
            </w:r>
          </w:p>
        </w:tc>
      </w:tr>
      <w:tr w14:paraId="3EC7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3800F38">
            <w:pPr>
              <w:spacing w:after="0" w:line="360" w:lineRule="auto"/>
              <w:jc w:val="center"/>
              <w:rPr>
                <w:rFonts w:ascii="Times New Roman" w:hAnsi="Times New Roman" w:cs="Times New Roman"/>
                <w:sz w:val="24"/>
                <w:szCs w:val="24"/>
              </w:rPr>
            </w:pPr>
          </w:p>
        </w:tc>
        <w:tc>
          <w:tcPr>
            <w:tcW w:w="0" w:type="auto"/>
            <w:vAlign w:val="center"/>
          </w:tcPr>
          <w:p w14:paraId="22D4C19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Text Messaging</w:t>
            </w:r>
          </w:p>
        </w:tc>
        <w:tc>
          <w:tcPr>
            <w:tcW w:w="0" w:type="auto"/>
            <w:vAlign w:val="center"/>
          </w:tcPr>
          <w:p w14:paraId="5713AD6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160</w:t>
            </w:r>
          </w:p>
        </w:tc>
        <w:tc>
          <w:tcPr>
            <w:tcW w:w="0" w:type="auto"/>
            <w:vAlign w:val="center"/>
          </w:tcPr>
          <w:p w14:paraId="28F0F3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r w14:paraId="5B63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43B1CE0">
            <w:pPr>
              <w:spacing w:after="0" w:line="360" w:lineRule="auto"/>
              <w:jc w:val="center"/>
              <w:rPr>
                <w:rFonts w:ascii="Times New Roman" w:hAnsi="Times New Roman" w:cs="Times New Roman"/>
                <w:sz w:val="24"/>
                <w:szCs w:val="24"/>
              </w:rPr>
            </w:pPr>
          </w:p>
        </w:tc>
        <w:tc>
          <w:tcPr>
            <w:tcW w:w="0" w:type="auto"/>
            <w:vAlign w:val="center"/>
          </w:tcPr>
          <w:p w14:paraId="1ACFBE0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Internet/Data</w:t>
            </w:r>
          </w:p>
        </w:tc>
        <w:tc>
          <w:tcPr>
            <w:tcW w:w="0" w:type="auto"/>
            <w:vAlign w:val="center"/>
          </w:tcPr>
          <w:p w14:paraId="2EB9E7B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524</w:t>
            </w:r>
          </w:p>
        </w:tc>
        <w:tc>
          <w:tcPr>
            <w:tcW w:w="0" w:type="auto"/>
            <w:vAlign w:val="center"/>
          </w:tcPr>
          <w:p w14:paraId="2CFC054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37.8%</w:t>
            </w:r>
          </w:p>
        </w:tc>
      </w:tr>
      <w:tr w14:paraId="4456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0C5FCF2">
            <w:pPr>
              <w:spacing w:after="0" w:line="360" w:lineRule="auto"/>
              <w:jc w:val="center"/>
              <w:rPr>
                <w:rFonts w:ascii="Times New Roman" w:hAnsi="Times New Roman" w:cs="Times New Roman"/>
                <w:sz w:val="24"/>
                <w:szCs w:val="24"/>
              </w:rPr>
            </w:pPr>
          </w:p>
        </w:tc>
        <w:tc>
          <w:tcPr>
            <w:tcW w:w="0" w:type="auto"/>
            <w:vAlign w:val="center"/>
          </w:tcPr>
          <w:p w14:paraId="66858F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0" w:type="auto"/>
            <w:vAlign w:val="center"/>
          </w:tcPr>
          <w:p w14:paraId="2CEB8F8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59</w:t>
            </w:r>
          </w:p>
        </w:tc>
        <w:tc>
          <w:tcPr>
            <w:tcW w:w="0" w:type="auto"/>
            <w:vAlign w:val="center"/>
          </w:tcPr>
          <w:p w14:paraId="63EE343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r>
      <w:tr w14:paraId="24E2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5FD769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0" w:type="auto"/>
            <w:vAlign w:val="center"/>
          </w:tcPr>
          <w:p w14:paraId="77BB6B0D">
            <w:pPr>
              <w:spacing w:after="0" w:line="360" w:lineRule="auto"/>
              <w:jc w:val="center"/>
              <w:rPr>
                <w:rFonts w:ascii="Times New Roman" w:hAnsi="Times New Roman" w:cs="Times New Roman"/>
                <w:b/>
                <w:bCs/>
                <w:sz w:val="24"/>
                <w:szCs w:val="24"/>
              </w:rPr>
            </w:pPr>
          </w:p>
        </w:tc>
        <w:tc>
          <w:tcPr>
            <w:tcW w:w="0" w:type="auto"/>
            <w:vAlign w:val="center"/>
          </w:tcPr>
          <w:p w14:paraId="6C06B6A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5899F1E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3A69746D">
      <w:pPr>
        <w:spacing w:after="0" w:line="360" w:lineRule="auto"/>
        <w:jc w:val="both"/>
        <w:rPr>
          <w:rFonts w:ascii="Times New Roman" w:hAnsi="Times New Roman" w:cs="Times New Roman"/>
          <w:b/>
          <w:bCs/>
          <w:sz w:val="24"/>
          <w:szCs w:val="24"/>
        </w:rPr>
      </w:pPr>
    </w:p>
    <w:p w14:paraId="015C8B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6725F0B">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Monthly Call Duration</w:t>
      </w:r>
      <w:r>
        <w:rPr>
          <w:rFonts w:ascii="Times New Roman" w:hAnsi="Times New Roman" w:cs="Times New Roman"/>
          <w:sz w:val="24"/>
          <w:szCs w:val="24"/>
        </w:rPr>
        <w:t xml:space="preserve">: Over </w:t>
      </w:r>
      <w:r>
        <w:rPr>
          <w:rFonts w:ascii="Times New Roman" w:hAnsi="Times New Roman" w:cs="Times New Roman"/>
          <w:b/>
          <w:bCs/>
          <w:sz w:val="24"/>
          <w:szCs w:val="24"/>
        </w:rPr>
        <w:t>50.6%</w:t>
      </w:r>
      <w:r>
        <w:rPr>
          <w:rFonts w:ascii="Times New Roman" w:hAnsi="Times New Roman" w:cs="Times New Roman"/>
          <w:sz w:val="24"/>
          <w:szCs w:val="24"/>
        </w:rPr>
        <w:t xml:space="preserve"> of respondents use </w:t>
      </w:r>
      <w:r>
        <w:rPr>
          <w:rFonts w:ascii="Times New Roman" w:hAnsi="Times New Roman" w:cs="Times New Roman"/>
          <w:b/>
          <w:bCs/>
          <w:sz w:val="24"/>
          <w:szCs w:val="24"/>
        </w:rPr>
        <w:t>0 - 200 minutes</w:t>
      </w:r>
      <w:r>
        <w:rPr>
          <w:rFonts w:ascii="Times New Roman" w:hAnsi="Times New Roman" w:cs="Times New Roman"/>
          <w:sz w:val="24"/>
          <w:szCs w:val="24"/>
        </w:rPr>
        <w:t xml:space="preserve"> monthly, indicating relatively low call activity. Only </w:t>
      </w:r>
      <w:r>
        <w:rPr>
          <w:rFonts w:ascii="Times New Roman" w:hAnsi="Times New Roman" w:cs="Times New Roman"/>
          <w:b/>
          <w:bCs/>
          <w:sz w:val="24"/>
          <w:szCs w:val="24"/>
        </w:rPr>
        <w:t>5.3%</w:t>
      </w:r>
      <w:r>
        <w:rPr>
          <w:rFonts w:ascii="Times New Roman" w:hAnsi="Times New Roman" w:cs="Times New Roman"/>
          <w:sz w:val="24"/>
          <w:szCs w:val="24"/>
        </w:rPr>
        <w:t xml:space="preserve"> report heavy call usage exceeding </w:t>
      </w:r>
      <w:r>
        <w:rPr>
          <w:rFonts w:ascii="Times New Roman" w:hAnsi="Times New Roman" w:cs="Times New Roman"/>
          <w:b/>
          <w:bCs/>
          <w:sz w:val="24"/>
          <w:szCs w:val="24"/>
        </w:rPr>
        <w:t>1,001 minutes</w:t>
      </w:r>
      <w:r>
        <w:rPr>
          <w:rFonts w:ascii="Times New Roman" w:hAnsi="Times New Roman" w:cs="Times New Roman"/>
          <w:sz w:val="24"/>
          <w:szCs w:val="24"/>
        </w:rPr>
        <w:t>, representing high-call users.</w:t>
      </w:r>
    </w:p>
    <w:p w14:paraId="7CB4FA71">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Monthly Data Usage</w:t>
      </w:r>
      <w:r>
        <w:rPr>
          <w:rFonts w:ascii="Times New Roman" w:hAnsi="Times New Roman" w:cs="Times New Roman"/>
          <w:sz w:val="24"/>
          <w:szCs w:val="24"/>
        </w:rPr>
        <w:t>: Most respondents (</w:t>
      </w:r>
      <w:r>
        <w:rPr>
          <w:rFonts w:ascii="Times New Roman" w:hAnsi="Times New Roman" w:cs="Times New Roman"/>
          <w:b/>
          <w:bCs/>
          <w:sz w:val="24"/>
          <w:szCs w:val="24"/>
        </w:rPr>
        <w:t>40.5%</w:t>
      </w:r>
      <w:r>
        <w:rPr>
          <w:rFonts w:ascii="Times New Roman" w:hAnsi="Times New Roman" w:cs="Times New Roman"/>
          <w:sz w:val="24"/>
          <w:szCs w:val="24"/>
        </w:rPr>
        <w:t xml:space="preserve">) use between </w:t>
      </w:r>
      <w:r>
        <w:rPr>
          <w:rFonts w:ascii="Times New Roman" w:hAnsi="Times New Roman" w:cs="Times New Roman"/>
          <w:b/>
          <w:bCs/>
          <w:sz w:val="24"/>
          <w:szCs w:val="24"/>
        </w:rPr>
        <w:t>0 - 5 GB</w:t>
      </w:r>
      <w:r>
        <w:rPr>
          <w:rFonts w:ascii="Times New Roman" w:hAnsi="Times New Roman" w:cs="Times New Roman"/>
          <w:sz w:val="24"/>
          <w:szCs w:val="24"/>
        </w:rPr>
        <w:t xml:space="preserve"> of data monthly, reflecting light internet usage. However, </w:t>
      </w:r>
      <w:r>
        <w:rPr>
          <w:rFonts w:ascii="Times New Roman" w:hAnsi="Times New Roman" w:cs="Times New Roman"/>
          <w:b/>
          <w:bCs/>
          <w:sz w:val="24"/>
          <w:szCs w:val="24"/>
        </w:rPr>
        <w:t>36.2%</w:t>
      </w:r>
      <w:r>
        <w:rPr>
          <w:rFonts w:ascii="Times New Roman" w:hAnsi="Times New Roman" w:cs="Times New Roman"/>
          <w:sz w:val="24"/>
          <w:szCs w:val="24"/>
        </w:rPr>
        <w:t xml:space="preserve"> fall into the </w:t>
      </w:r>
      <w:r>
        <w:rPr>
          <w:rFonts w:ascii="Times New Roman" w:hAnsi="Times New Roman" w:cs="Times New Roman"/>
          <w:b/>
          <w:bCs/>
          <w:sz w:val="24"/>
          <w:szCs w:val="24"/>
        </w:rPr>
        <w:t>6 - 15 GB</w:t>
      </w:r>
      <w:r>
        <w:rPr>
          <w:rFonts w:ascii="Times New Roman" w:hAnsi="Times New Roman" w:cs="Times New Roman"/>
          <w:sz w:val="24"/>
          <w:szCs w:val="24"/>
        </w:rPr>
        <w:t xml:space="preserve"> range, indicative of more moderate usage patterns, and only </w:t>
      </w:r>
      <w:r>
        <w:rPr>
          <w:rFonts w:ascii="Times New Roman" w:hAnsi="Times New Roman" w:cs="Times New Roman"/>
          <w:b/>
          <w:bCs/>
          <w:sz w:val="24"/>
          <w:szCs w:val="24"/>
        </w:rPr>
        <w:t>5.3%</w:t>
      </w:r>
      <w:r>
        <w:rPr>
          <w:rFonts w:ascii="Times New Roman" w:hAnsi="Times New Roman" w:cs="Times New Roman"/>
          <w:sz w:val="24"/>
          <w:szCs w:val="24"/>
        </w:rPr>
        <w:t xml:space="preserve"> consume over </w:t>
      </w:r>
      <w:r>
        <w:rPr>
          <w:rFonts w:ascii="Times New Roman" w:hAnsi="Times New Roman" w:cs="Times New Roman"/>
          <w:b/>
          <w:bCs/>
          <w:sz w:val="24"/>
          <w:szCs w:val="24"/>
        </w:rPr>
        <w:t>31 GB</w:t>
      </w:r>
      <w:r>
        <w:rPr>
          <w:rFonts w:ascii="Times New Roman" w:hAnsi="Times New Roman" w:cs="Times New Roman"/>
          <w:sz w:val="24"/>
          <w:szCs w:val="24"/>
        </w:rPr>
        <w:t xml:space="preserve"> monthly.</w:t>
      </w:r>
    </w:p>
    <w:p w14:paraId="45F8B75D">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Primary Communication Method</w:t>
      </w:r>
      <w:r>
        <w:rPr>
          <w:rFonts w:ascii="Times New Roman" w:hAnsi="Times New Roman" w:cs="Times New Roman"/>
          <w:sz w:val="24"/>
          <w:szCs w:val="24"/>
        </w:rPr>
        <w:t>: A substantial portion of respondents (</w:t>
      </w:r>
      <w:r>
        <w:rPr>
          <w:rFonts w:ascii="Times New Roman" w:hAnsi="Times New Roman" w:cs="Times New Roman"/>
          <w:b/>
          <w:bCs/>
          <w:sz w:val="24"/>
          <w:szCs w:val="24"/>
        </w:rPr>
        <w:t>46.3%</w:t>
      </w:r>
      <w:r>
        <w:rPr>
          <w:rFonts w:ascii="Times New Roman" w:hAnsi="Times New Roman" w:cs="Times New Roman"/>
          <w:sz w:val="24"/>
          <w:szCs w:val="24"/>
        </w:rPr>
        <w:t xml:space="preserve">) still prefer </w:t>
      </w:r>
      <w:r>
        <w:rPr>
          <w:rFonts w:ascii="Times New Roman" w:hAnsi="Times New Roman" w:cs="Times New Roman"/>
          <w:b/>
          <w:bCs/>
          <w:sz w:val="24"/>
          <w:szCs w:val="24"/>
        </w:rPr>
        <w:t>voice calls</w:t>
      </w:r>
      <w:r>
        <w:rPr>
          <w:rFonts w:ascii="Times New Roman" w:hAnsi="Times New Roman" w:cs="Times New Roman"/>
          <w:sz w:val="24"/>
          <w:szCs w:val="24"/>
        </w:rPr>
        <w:t xml:space="preserve">, but </w:t>
      </w:r>
      <w:r>
        <w:rPr>
          <w:rFonts w:ascii="Times New Roman" w:hAnsi="Times New Roman" w:cs="Times New Roman"/>
          <w:b/>
          <w:bCs/>
          <w:sz w:val="24"/>
          <w:szCs w:val="24"/>
        </w:rPr>
        <w:t>37.8%</w:t>
      </w:r>
      <w:r>
        <w:rPr>
          <w:rFonts w:ascii="Times New Roman" w:hAnsi="Times New Roman" w:cs="Times New Roman"/>
          <w:sz w:val="24"/>
          <w:szCs w:val="24"/>
        </w:rPr>
        <w:t xml:space="preserve"> are primarily reliant on </w:t>
      </w:r>
      <w:r>
        <w:rPr>
          <w:rFonts w:ascii="Times New Roman" w:hAnsi="Times New Roman" w:cs="Times New Roman"/>
          <w:b/>
          <w:bCs/>
          <w:sz w:val="24"/>
          <w:szCs w:val="24"/>
        </w:rPr>
        <w:t>internet/data</w:t>
      </w:r>
      <w:r>
        <w:rPr>
          <w:rFonts w:ascii="Times New Roman" w:hAnsi="Times New Roman" w:cs="Times New Roman"/>
          <w:sz w:val="24"/>
          <w:szCs w:val="24"/>
        </w:rPr>
        <w:t xml:space="preserve"> for communication, showcasing the growing importance of mobile data in Nigeria’s telecommunications sector.</w:t>
      </w:r>
    </w:p>
    <w:p w14:paraId="719F3D6E">
      <w:pPr>
        <w:pStyle w:val="5"/>
        <w:bidi w:val="0"/>
        <w:spacing w:line="360" w:lineRule="auto"/>
        <w:jc w:val="center"/>
        <w:rPr>
          <w:rFonts w:ascii="Times New Roman" w:hAnsi="Times New Roman" w:cs="Times New Roman"/>
          <w:b/>
          <w:bCs/>
          <w:szCs w:val="24"/>
        </w:rPr>
      </w:pPr>
      <w:r>
        <w:t>Table 4.</w:t>
      </w:r>
      <w:r>
        <w:rPr>
          <w:rFonts w:hint="default"/>
          <w:lang w:val="en-US"/>
        </w:rPr>
        <w:t>1.</w:t>
      </w:r>
      <w:r>
        <w:t>5 Distribution by Customer Experience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156"/>
        <w:gridCol w:w="1734"/>
        <w:gridCol w:w="1298"/>
        <w:gridCol w:w="1228"/>
      </w:tblGrid>
      <w:tr w14:paraId="2933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05048C3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Customer Experience Variable</w:t>
            </w:r>
          </w:p>
        </w:tc>
        <w:tc>
          <w:tcPr>
            <w:tcW w:w="1797" w:type="dxa"/>
            <w:vAlign w:val="center"/>
          </w:tcPr>
          <w:p w14:paraId="1A83D92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1289" w:type="dxa"/>
            <w:vAlign w:val="center"/>
          </w:tcPr>
          <w:p w14:paraId="4F2E3F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3C33C5A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192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38BC5BC8">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Number of Complaints Filed in the Last 6 Months</w:t>
            </w:r>
          </w:p>
        </w:tc>
        <w:tc>
          <w:tcPr>
            <w:tcW w:w="1797" w:type="dxa"/>
            <w:vAlign w:val="center"/>
          </w:tcPr>
          <w:p w14:paraId="2D19DB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289" w:type="dxa"/>
            <w:vAlign w:val="center"/>
          </w:tcPr>
          <w:p w14:paraId="540F40C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600</w:t>
            </w:r>
          </w:p>
        </w:tc>
        <w:tc>
          <w:tcPr>
            <w:tcW w:w="0" w:type="auto"/>
            <w:vAlign w:val="center"/>
          </w:tcPr>
          <w:p w14:paraId="6834830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43.4%</w:t>
            </w:r>
          </w:p>
        </w:tc>
      </w:tr>
      <w:tr w14:paraId="13CA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352EB8F8">
            <w:pPr>
              <w:spacing w:after="0" w:line="360" w:lineRule="auto"/>
              <w:jc w:val="center"/>
              <w:rPr>
                <w:rFonts w:ascii="Times New Roman" w:hAnsi="Times New Roman" w:cs="Times New Roman"/>
                <w:sz w:val="24"/>
                <w:szCs w:val="24"/>
              </w:rPr>
            </w:pPr>
          </w:p>
        </w:tc>
        <w:tc>
          <w:tcPr>
            <w:tcW w:w="1797" w:type="dxa"/>
            <w:vAlign w:val="center"/>
          </w:tcPr>
          <w:p w14:paraId="5C7ADB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1 - 2 complaints</w:t>
            </w:r>
          </w:p>
        </w:tc>
        <w:tc>
          <w:tcPr>
            <w:tcW w:w="1289" w:type="dxa"/>
            <w:vAlign w:val="center"/>
          </w:tcPr>
          <w:p w14:paraId="704E71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440</w:t>
            </w:r>
          </w:p>
        </w:tc>
        <w:tc>
          <w:tcPr>
            <w:tcW w:w="0" w:type="auto"/>
            <w:vAlign w:val="center"/>
          </w:tcPr>
          <w:p w14:paraId="0C6EDA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31.8%</w:t>
            </w:r>
          </w:p>
        </w:tc>
      </w:tr>
      <w:tr w14:paraId="3FA4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5F4036F3">
            <w:pPr>
              <w:spacing w:after="0" w:line="360" w:lineRule="auto"/>
              <w:jc w:val="center"/>
              <w:rPr>
                <w:rFonts w:ascii="Times New Roman" w:hAnsi="Times New Roman" w:cs="Times New Roman"/>
                <w:sz w:val="24"/>
                <w:szCs w:val="24"/>
              </w:rPr>
            </w:pPr>
          </w:p>
        </w:tc>
        <w:tc>
          <w:tcPr>
            <w:tcW w:w="1797" w:type="dxa"/>
            <w:vAlign w:val="center"/>
          </w:tcPr>
          <w:p w14:paraId="3D88F95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3 - 5 complaints</w:t>
            </w:r>
          </w:p>
        </w:tc>
        <w:tc>
          <w:tcPr>
            <w:tcW w:w="1289" w:type="dxa"/>
            <w:vAlign w:val="center"/>
          </w:tcPr>
          <w:p w14:paraId="4AD2827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0" w:type="auto"/>
            <w:vAlign w:val="center"/>
          </w:tcPr>
          <w:p w14:paraId="08E4768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14.5%</w:t>
            </w:r>
          </w:p>
        </w:tc>
      </w:tr>
      <w:tr w14:paraId="5ED6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1993C795">
            <w:pPr>
              <w:spacing w:after="0" w:line="360" w:lineRule="auto"/>
              <w:jc w:val="center"/>
              <w:rPr>
                <w:rFonts w:ascii="Times New Roman" w:hAnsi="Times New Roman" w:cs="Times New Roman"/>
                <w:sz w:val="24"/>
                <w:szCs w:val="24"/>
              </w:rPr>
            </w:pPr>
          </w:p>
        </w:tc>
        <w:tc>
          <w:tcPr>
            <w:tcW w:w="1797" w:type="dxa"/>
            <w:vAlign w:val="center"/>
          </w:tcPr>
          <w:p w14:paraId="555C57C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6 - 10 complaints</w:t>
            </w:r>
          </w:p>
        </w:tc>
        <w:tc>
          <w:tcPr>
            <w:tcW w:w="1289" w:type="dxa"/>
            <w:vAlign w:val="center"/>
          </w:tcPr>
          <w:p w14:paraId="52A02D0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vAlign w:val="center"/>
          </w:tcPr>
          <w:p w14:paraId="65ED62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10BA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682A28B3">
            <w:pPr>
              <w:spacing w:after="0" w:line="360" w:lineRule="auto"/>
              <w:jc w:val="center"/>
              <w:rPr>
                <w:rFonts w:ascii="Times New Roman" w:hAnsi="Times New Roman" w:cs="Times New Roman"/>
                <w:sz w:val="24"/>
                <w:szCs w:val="24"/>
              </w:rPr>
            </w:pPr>
          </w:p>
        </w:tc>
        <w:tc>
          <w:tcPr>
            <w:tcW w:w="1797" w:type="dxa"/>
            <w:vAlign w:val="center"/>
          </w:tcPr>
          <w:p w14:paraId="34684B0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 complaints</w:t>
            </w:r>
          </w:p>
        </w:tc>
        <w:tc>
          <w:tcPr>
            <w:tcW w:w="1289" w:type="dxa"/>
            <w:vAlign w:val="center"/>
          </w:tcPr>
          <w:p w14:paraId="2013D40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0" w:type="auto"/>
            <w:vAlign w:val="center"/>
          </w:tcPr>
          <w:p w14:paraId="33BA64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14:paraId="3EC9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5B65CF2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797" w:type="dxa"/>
            <w:vAlign w:val="center"/>
          </w:tcPr>
          <w:p w14:paraId="6BC94AD5">
            <w:pPr>
              <w:spacing w:after="0" w:line="360" w:lineRule="auto"/>
              <w:jc w:val="center"/>
              <w:rPr>
                <w:rFonts w:ascii="Times New Roman" w:hAnsi="Times New Roman" w:cs="Times New Roman"/>
                <w:b/>
                <w:bCs/>
                <w:sz w:val="24"/>
                <w:szCs w:val="24"/>
              </w:rPr>
            </w:pPr>
          </w:p>
        </w:tc>
        <w:tc>
          <w:tcPr>
            <w:tcW w:w="1289" w:type="dxa"/>
            <w:vAlign w:val="center"/>
          </w:tcPr>
          <w:p w14:paraId="2448BFA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15ECF6E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2D8CBAF">
      <w:pPr>
        <w:spacing w:after="0" w:line="360" w:lineRule="auto"/>
        <w:jc w:val="both"/>
        <w:rPr>
          <w:rFonts w:ascii="Times New Roman" w:hAnsi="Times New Roman" w:cs="Times New Roman"/>
          <w:sz w:val="24"/>
          <w:szCs w:val="24"/>
        </w:rPr>
      </w:pPr>
    </w:p>
    <w:p w14:paraId="320AEDE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6855EEB7">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0 Complaints</w:t>
      </w:r>
      <w:r>
        <w:rPr>
          <w:rFonts w:ascii="Times New Roman" w:hAnsi="Times New Roman" w:cs="Times New Roman"/>
          <w:sz w:val="24"/>
          <w:szCs w:val="24"/>
        </w:rPr>
        <w:t xml:space="preserve">: A significant </w:t>
      </w:r>
      <w:r>
        <w:rPr>
          <w:rFonts w:ascii="Times New Roman" w:hAnsi="Times New Roman" w:cs="Times New Roman"/>
          <w:b/>
          <w:bCs/>
          <w:sz w:val="24"/>
          <w:szCs w:val="24"/>
        </w:rPr>
        <w:t>43.4%</w:t>
      </w:r>
      <w:r>
        <w:rPr>
          <w:rFonts w:ascii="Times New Roman" w:hAnsi="Times New Roman" w:cs="Times New Roman"/>
          <w:sz w:val="24"/>
          <w:szCs w:val="24"/>
        </w:rPr>
        <w:t xml:space="preserve"> of respondents have not filed any complaints in the last 6 months, suggesting a degree of satisfaction or lack of engagement with customer service.</w:t>
      </w:r>
    </w:p>
    <w:p w14:paraId="43B3D1F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1 - 2 Complaints</w:t>
      </w:r>
      <w:r>
        <w:rPr>
          <w:rFonts w:ascii="Times New Roman" w:hAnsi="Times New Roman" w:cs="Times New Roman"/>
          <w:sz w:val="24"/>
          <w:szCs w:val="24"/>
        </w:rPr>
        <w:t xml:space="preserve">: </w:t>
      </w:r>
      <w:r>
        <w:rPr>
          <w:rFonts w:ascii="Times New Roman" w:hAnsi="Times New Roman" w:cs="Times New Roman"/>
          <w:b/>
          <w:bCs/>
          <w:sz w:val="24"/>
          <w:szCs w:val="24"/>
        </w:rPr>
        <w:t>31.8%</w:t>
      </w:r>
      <w:r>
        <w:rPr>
          <w:rFonts w:ascii="Times New Roman" w:hAnsi="Times New Roman" w:cs="Times New Roman"/>
          <w:sz w:val="24"/>
          <w:szCs w:val="24"/>
        </w:rPr>
        <w:t xml:space="preserve"> of customers have filed 1 to 2 complaints, indicating moderate dissatisfaction or issues that have been partially addressed.</w:t>
      </w:r>
    </w:p>
    <w:p w14:paraId="648B2215">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3 - 5 Complaints</w:t>
      </w:r>
      <w:r>
        <w:rPr>
          <w:rFonts w:ascii="Times New Roman" w:hAnsi="Times New Roman" w:cs="Times New Roman"/>
          <w:sz w:val="24"/>
          <w:szCs w:val="24"/>
        </w:rPr>
        <w:t xml:space="preserve">: </w:t>
      </w:r>
      <w:r>
        <w:rPr>
          <w:rFonts w:ascii="Times New Roman" w:hAnsi="Times New Roman" w:cs="Times New Roman"/>
          <w:b/>
          <w:bCs/>
          <w:sz w:val="24"/>
          <w:szCs w:val="24"/>
        </w:rPr>
        <w:t>14.5%</w:t>
      </w:r>
      <w:r>
        <w:rPr>
          <w:rFonts w:ascii="Times New Roman" w:hAnsi="Times New Roman" w:cs="Times New Roman"/>
          <w:sz w:val="24"/>
          <w:szCs w:val="24"/>
        </w:rPr>
        <w:t xml:space="preserve"> of respondents have reported filing 3 to 5 complaints, which may reflect more persistent service issues or higher dissatisfaction levels.</w:t>
      </w:r>
    </w:p>
    <w:p w14:paraId="48A77DA8">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6 - 10 Complaints</w:t>
      </w:r>
      <w:r>
        <w:rPr>
          <w:rFonts w:ascii="Times New Roman" w:hAnsi="Times New Roman" w:cs="Times New Roman"/>
          <w:sz w:val="24"/>
          <w:szCs w:val="24"/>
        </w:rPr>
        <w:t xml:space="preserve">: A smaller segment, </w:t>
      </w:r>
      <w:r>
        <w:rPr>
          <w:rFonts w:ascii="Times New Roman" w:hAnsi="Times New Roman" w:cs="Times New Roman"/>
          <w:b/>
          <w:bCs/>
          <w:sz w:val="24"/>
          <w:szCs w:val="24"/>
        </w:rPr>
        <w:t>7.2%</w:t>
      </w:r>
      <w:r>
        <w:rPr>
          <w:rFonts w:ascii="Times New Roman" w:hAnsi="Times New Roman" w:cs="Times New Roman"/>
          <w:sz w:val="24"/>
          <w:szCs w:val="24"/>
        </w:rPr>
        <w:t>, have filed between 6 and 10 complaints, pointing to frequent issues and potentially significant service quality concerns.</w:t>
      </w:r>
    </w:p>
    <w:p w14:paraId="5C8C83CD">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11+ Complaints</w:t>
      </w:r>
      <w:r>
        <w:rPr>
          <w:rFonts w:ascii="Times New Roman" w:hAnsi="Times New Roman" w:cs="Times New Roman"/>
          <w:sz w:val="24"/>
          <w:szCs w:val="24"/>
        </w:rPr>
        <w:t xml:space="preserve">: Only </w:t>
      </w:r>
      <w:r>
        <w:rPr>
          <w:rFonts w:ascii="Times New Roman" w:hAnsi="Times New Roman" w:cs="Times New Roman"/>
          <w:b/>
          <w:bCs/>
          <w:sz w:val="24"/>
          <w:szCs w:val="24"/>
        </w:rPr>
        <w:t>3.1%</w:t>
      </w:r>
      <w:r>
        <w:rPr>
          <w:rFonts w:ascii="Times New Roman" w:hAnsi="Times New Roman" w:cs="Times New Roman"/>
          <w:sz w:val="24"/>
          <w:szCs w:val="24"/>
        </w:rPr>
        <w:t xml:space="preserve"> of customers have filed more than 11 complaints, representing the most dissatisfied customers or those experiencing severe and recurring issues.</w:t>
      </w:r>
    </w:p>
    <w:p w14:paraId="163B0CE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This distribution highlights the varying levels of customer satisfaction and potential service quality problems. A substantial proportion of customers are either content or minimally dissatisfied, while a smaller yet significant percentage are highly dissatisfied, which could be a critical focus for improving customer service.</w:t>
      </w:r>
    </w:p>
    <w:p w14:paraId="7269F8E4">
      <w:pPr>
        <w:pStyle w:val="5"/>
        <w:bidi w:val="0"/>
        <w:spacing w:line="360" w:lineRule="auto"/>
        <w:jc w:val="center"/>
      </w:pPr>
      <w:r>
        <w:t>Table 4.</w:t>
      </w:r>
      <w:r>
        <w:rPr>
          <w:rFonts w:hint="default"/>
          <w:lang w:val="en-US"/>
        </w:rPr>
        <w:t>1.</w:t>
      </w:r>
      <w:r>
        <w:t>6 Nature of Complaints by Customers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592"/>
        <w:gridCol w:w="1296"/>
        <w:gridCol w:w="2455"/>
      </w:tblGrid>
      <w:tr w14:paraId="5B0B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667E24E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Nature of Complaints</w:t>
            </w:r>
          </w:p>
        </w:tc>
        <w:tc>
          <w:tcPr>
            <w:tcW w:w="1266" w:type="dxa"/>
            <w:vAlign w:val="center"/>
          </w:tcPr>
          <w:p w14:paraId="105ACFA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410" w:type="dxa"/>
            <w:vAlign w:val="center"/>
          </w:tcPr>
          <w:p w14:paraId="06DCADF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2172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5A1B5E18">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Service Quality</w:t>
            </w:r>
          </w:p>
        </w:tc>
        <w:tc>
          <w:tcPr>
            <w:tcW w:w="1266" w:type="dxa"/>
            <w:vAlign w:val="center"/>
          </w:tcPr>
          <w:p w14:paraId="66F5AA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499</w:t>
            </w:r>
          </w:p>
        </w:tc>
        <w:tc>
          <w:tcPr>
            <w:tcW w:w="2410" w:type="dxa"/>
            <w:vAlign w:val="center"/>
          </w:tcPr>
          <w:p w14:paraId="799698D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r>
      <w:tr w14:paraId="6CA5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3AF87EB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Billing Issues</w:t>
            </w:r>
          </w:p>
        </w:tc>
        <w:tc>
          <w:tcPr>
            <w:tcW w:w="1266" w:type="dxa"/>
            <w:vAlign w:val="center"/>
          </w:tcPr>
          <w:p w14:paraId="6A227E2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2410" w:type="dxa"/>
            <w:vAlign w:val="center"/>
          </w:tcPr>
          <w:p w14:paraId="484DD3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3029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13DD6D35">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w:t>
            </w:r>
          </w:p>
        </w:tc>
        <w:tc>
          <w:tcPr>
            <w:tcW w:w="1266" w:type="dxa"/>
            <w:vAlign w:val="center"/>
          </w:tcPr>
          <w:p w14:paraId="30B345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241</w:t>
            </w:r>
          </w:p>
        </w:tc>
        <w:tc>
          <w:tcPr>
            <w:tcW w:w="2410" w:type="dxa"/>
            <w:vAlign w:val="center"/>
          </w:tcPr>
          <w:p w14:paraId="687373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14:paraId="39BE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40D7DC88">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w:t>
            </w:r>
          </w:p>
        </w:tc>
        <w:tc>
          <w:tcPr>
            <w:tcW w:w="1266" w:type="dxa"/>
            <w:vAlign w:val="center"/>
          </w:tcPr>
          <w:p w14:paraId="343412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160</w:t>
            </w:r>
          </w:p>
        </w:tc>
        <w:tc>
          <w:tcPr>
            <w:tcW w:w="2410" w:type="dxa"/>
            <w:vAlign w:val="center"/>
          </w:tcPr>
          <w:p w14:paraId="4CAD91C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r w14:paraId="1DD6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4B507F0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Technical Issues</w:t>
            </w:r>
          </w:p>
        </w:tc>
        <w:tc>
          <w:tcPr>
            <w:tcW w:w="1266" w:type="dxa"/>
            <w:vAlign w:val="center"/>
          </w:tcPr>
          <w:p w14:paraId="6A2722C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2410" w:type="dxa"/>
            <w:vAlign w:val="center"/>
          </w:tcPr>
          <w:p w14:paraId="7A6F60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5.8%</w:t>
            </w:r>
          </w:p>
        </w:tc>
      </w:tr>
      <w:tr w14:paraId="40D3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57AEB42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Other</w:t>
            </w:r>
          </w:p>
        </w:tc>
        <w:tc>
          <w:tcPr>
            <w:tcW w:w="1266" w:type="dxa"/>
            <w:vAlign w:val="center"/>
          </w:tcPr>
          <w:p w14:paraId="644323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2410" w:type="dxa"/>
            <w:vAlign w:val="center"/>
          </w:tcPr>
          <w:p w14:paraId="7EB6AB3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14:paraId="1861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7F92232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266" w:type="dxa"/>
            <w:vAlign w:val="center"/>
          </w:tcPr>
          <w:p w14:paraId="245AEE5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2410" w:type="dxa"/>
            <w:vAlign w:val="center"/>
          </w:tcPr>
          <w:p w14:paraId="4F76B7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1FCD7CC1">
      <w:pPr>
        <w:spacing w:after="0" w:line="360" w:lineRule="auto"/>
        <w:jc w:val="both"/>
        <w:rPr>
          <w:rFonts w:ascii="Times New Roman" w:hAnsi="Times New Roman" w:cs="Times New Roman"/>
          <w:sz w:val="24"/>
          <w:szCs w:val="24"/>
        </w:rPr>
      </w:pPr>
    </w:p>
    <w:p w14:paraId="2937B26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C425C2">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Service Quality</w:t>
      </w:r>
      <w:r>
        <w:rPr>
          <w:rFonts w:ascii="Times New Roman" w:hAnsi="Times New Roman" w:cs="Times New Roman"/>
          <w:sz w:val="24"/>
          <w:szCs w:val="24"/>
        </w:rPr>
        <w:t xml:space="preserve">: The most common complaint, </w:t>
      </w:r>
      <w:r>
        <w:rPr>
          <w:rFonts w:ascii="Times New Roman" w:hAnsi="Times New Roman" w:cs="Times New Roman"/>
          <w:b/>
          <w:bCs/>
          <w:sz w:val="24"/>
          <w:szCs w:val="24"/>
        </w:rPr>
        <w:t>36.1%</w:t>
      </w:r>
      <w:r>
        <w:rPr>
          <w:rFonts w:ascii="Times New Roman" w:hAnsi="Times New Roman" w:cs="Times New Roman"/>
          <w:sz w:val="24"/>
          <w:szCs w:val="24"/>
        </w:rPr>
        <w:t xml:space="preserve"> of respondents report issues related to service quality. This indicates that improving the overall service quality should be a priority for reducing churn and enhancing customer satisfaction.</w:t>
      </w:r>
    </w:p>
    <w:p w14:paraId="77E9657B">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Billing Issues</w:t>
      </w:r>
      <w:r>
        <w:rPr>
          <w:rFonts w:ascii="Times New Roman" w:hAnsi="Times New Roman" w:cs="Times New Roman"/>
          <w:sz w:val="24"/>
          <w:szCs w:val="24"/>
        </w:rPr>
        <w:t xml:space="preserve">: </w:t>
      </w:r>
      <w:r>
        <w:rPr>
          <w:rFonts w:ascii="Times New Roman" w:hAnsi="Times New Roman" w:cs="Times New Roman"/>
          <w:b/>
          <w:bCs/>
          <w:sz w:val="24"/>
          <w:szCs w:val="24"/>
        </w:rPr>
        <w:t>26.0%</w:t>
      </w:r>
      <w:r>
        <w:rPr>
          <w:rFonts w:ascii="Times New Roman" w:hAnsi="Times New Roman" w:cs="Times New Roman"/>
          <w:sz w:val="24"/>
          <w:szCs w:val="24"/>
        </w:rPr>
        <w:t xml:space="preserve"> of complaints are about billing issues, highlighting a need for better transparency and accuracy in billing practices.</w:t>
      </w:r>
    </w:p>
    <w:p w14:paraId="4FE71000">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w:t>
      </w:r>
      <w:r>
        <w:rPr>
          <w:rFonts w:ascii="Times New Roman" w:hAnsi="Times New Roman" w:cs="Times New Roman"/>
          <w:b/>
          <w:bCs/>
          <w:sz w:val="24"/>
          <w:szCs w:val="24"/>
        </w:rPr>
        <w:t>17.4%</w:t>
      </w:r>
      <w:r>
        <w:rPr>
          <w:rFonts w:ascii="Times New Roman" w:hAnsi="Times New Roman" w:cs="Times New Roman"/>
          <w:sz w:val="24"/>
          <w:szCs w:val="24"/>
        </w:rPr>
        <w:t xml:space="preserve"> of respondents cite network coverage as a problem. This suggests that expanding network infrastructure or improving signal strength could help retain customers.</w:t>
      </w:r>
    </w:p>
    <w:p w14:paraId="6E5DB4A0">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w:t>
      </w:r>
      <w:r>
        <w:rPr>
          <w:rFonts w:ascii="Times New Roman" w:hAnsi="Times New Roman" w:cs="Times New Roman"/>
          <w:b/>
          <w:bCs/>
          <w:sz w:val="24"/>
          <w:szCs w:val="24"/>
        </w:rPr>
        <w:t>11.6%</w:t>
      </w:r>
      <w:r>
        <w:rPr>
          <w:rFonts w:ascii="Times New Roman" w:hAnsi="Times New Roman" w:cs="Times New Roman"/>
          <w:sz w:val="24"/>
          <w:szCs w:val="24"/>
        </w:rPr>
        <w:t xml:space="preserve"> of complaints are related to customer service, indicating that customer support interactions may need improvement.</w:t>
      </w:r>
    </w:p>
    <w:p w14:paraId="1BE75C28">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Technical Issues</w:t>
      </w:r>
      <w:r>
        <w:rPr>
          <w:rFonts w:ascii="Times New Roman" w:hAnsi="Times New Roman" w:cs="Times New Roman"/>
          <w:sz w:val="24"/>
          <w:szCs w:val="24"/>
        </w:rPr>
        <w:t xml:space="preserve">: </w:t>
      </w:r>
      <w:r>
        <w:rPr>
          <w:rFonts w:ascii="Times New Roman" w:hAnsi="Times New Roman" w:cs="Times New Roman"/>
          <w:b/>
          <w:bCs/>
          <w:sz w:val="24"/>
          <w:szCs w:val="24"/>
        </w:rPr>
        <w:t>5.8%</w:t>
      </w:r>
      <w:r>
        <w:rPr>
          <w:rFonts w:ascii="Times New Roman" w:hAnsi="Times New Roman" w:cs="Times New Roman"/>
          <w:sz w:val="24"/>
          <w:szCs w:val="24"/>
        </w:rPr>
        <w:t xml:space="preserve"> report technical issues, which might suggest that while less common, these problems still affect a significant portion of users and should be addressed.</w:t>
      </w:r>
    </w:p>
    <w:p w14:paraId="15C73217">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3.1%</w:t>
      </w:r>
      <w:r>
        <w:rPr>
          <w:rFonts w:ascii="Times New Roman" w:hAnsi="Times New Roman" w:cs="Times New Roman"/>
          <w:sz w:val="24"/>
          <w:szCs w:val="24"/>
        </w:rPr>
        <w:t xml:space="preserve"> of complaints fall into the "Other" category, reflecting diverse issues not covered by the main categories.</w:t>
      </w:r>
    </w:p>
    <w:p w14:paraId="15D961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distribution provides insights into the specific areas where customers face problems and helps prioritize areas for improvement to enhance overall customer satisfaction and reduce churn.</w:t>
      </w:r>
    </w:p>
    <w:p w14:paraId="4F877124">
      <w:pPr>
        <w:spacing w:after="0" w:line="360" w:lineRule="auto"/>
        <w:jc w:val="both"/>
        <w:rPr>
          <w:rFonts w:ascii="Times New Roman" w:hAnsi="Times New Roman" w:cs="Times New Roman"/>
          <w:sz w:val="24"/>
          <w:szCs w:val="24"/>
        </w:rPr>
      </w:pPr>
    </w:p>
    <w:p w14:paraId="4F8BC55F">
      <w:pPr>
        <w:pStyle w:val="5"/>
        <w:bidi w:val="0"/>
        <w:spacing w:line="360" w:lineRule="auto"/>
        <w:jc w:val="center"/>
      </w:pPr>
      <w:r>
        <w:t>Table 4.</w:t>
      </w:r>
      <w:r>
        <w:rPr>
          <w:rFonts w:hint="default"/>
          <w:lang w:val="en-US"/>
        </w:rPr>
        <w:t>1.</w:t>
      </w:r>
      <w:r>
        <w:t>7 Overall Satisfaction with Service</w:t>
      </w:r>
    </w:p>
    <w:tbl>
      <w:tblPr>
        <w:tblStyle w:val="12"/>
        <w:tblW w:w="0" w:type="auto"/>
        <w:jc w:val="center"/>
        <w:tblCellSpacing w:w="15" w:type="dxa"/>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519"/>
        <w:gridCol w:w="1364"/>
        <w:gridCol w:w="1882"/>
      </w:tblGrid>
      <w:tr w14:paraId="0F2DC9DF">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3474" w:type="dxa"/>
            <w:vAlign w:val="center"/>
          </w:tcPr>
          <w:p w14:paraId="401FA4F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Overall Satisfaction with Service</w:t>
            </w:r>
          </w:p>
        </w:tc>
        <w:tc>
          <w:tcPr>
            <w:tcW w:w="1334" w:type="dxa"/>
            <w:vAlign w:val="center"/>
          </w:tcPr>
          <w:p w14:paraId="1907FD8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37" w:type="dxa"/>
            <w:vAlign w:val="center"/>
          </w:tcPr>
          <w:p w14:paraId="6295280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16381041">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6AA6395D">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Dissatisfied</w:t>
            </w:r>
          </w:p>
        </w:tc>
        <w:tc>
          <w:tcPr>
            <w:tcW w:w="1334" w:type="dxa"/>
            <w:vAlign w:val="center"/>
          </w:tcPr>
          <w:p w14:paraId="05F39E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837" w:type="dxa"/>
            <w:vAlign w:val="center"/>
          </w:tcPr>
          <w:p w14:paraId="6E0D7B1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3FEBA6F3">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7FD43A7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Dissatisfied</w:t>
            </w:r>
          </w:p>
        </w:tc>
        <w:tc>
          <w:tcPr>
            <w:tcW w:w="1334" w:type="dxa"/>
            <w:vAlign w:val="center"/>
          </w:tcPr>
          <w:p w14:paraId="0BD4EC6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201</w:t>
            </w:r>
          </w:p>
        </w:tc>
        <w:tc>
          <w:tcPr>
            <w:tcW w:w="1837" w:type="dxa"/>
            <w:vAlign w:val="center"/>
          </w:tcPr>
          <w:p w14:paraId="027E3CB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14.5%</w:t>
            </w:r>
          </w:p>
        </w:tc>
      </w:tr>
      <w:tr w14:paraId="12C9AE4F">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4E707EC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Neutral</w:t>
            </w:r>
          </w:p>
        </w:tc>
        <w:tc>
          <w:tcPr>
            <w:tcW w:w="1334" w:type="dxa"/>
            <w:vAlign w:val="center"/>
          </w:tcPr>
          <w:p w14:paraId="4CBCD2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837" w:type="dxa"/>
            <w:vAlign w:val="center"/>
          </w:tcPr>
          <w:p w14:paraId="02F52C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15CA9190">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5E30CC3D">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Satisfied</w:t>
            </w:r>
          </w:p>
        </w:tc>
        <w:tc>
          <w:tcPr>
            <w:tcW w:w="1334" w:type="dxa"/>
            <w:vAlign w:val="center"/>
          </w:tcPr>
          <w:p w14:paraId="1118323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498</w:t>
            </w:r>
          </w:p>
        </w:tc>
        <w:tc>
          <w:tcPr>
            <w:tcW w:w="1837" w:type="dxa"/>
            <w:vAlign w:val="center"/>
          </w:tcPr>
          <w:p w14:paraId="684AB9E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r>
      <w:tr w14:paraId="397C0423">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173EEF1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Satisfied</w:t>
            </w:r>
          </w:p>
        </w:tc>
        <w:tc>
          <w:tcPr>
            <w:tcW w:w="1334" w:type="dxa"/>
            <w:vAlign w:val="center"/>
          </w:tcPr>
          <w:p w14:paraId="646744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284</w:t>
            </w:r>
          </w:p>
        </w:tc>
        <w:tc>
          <w:tcPr>
            <w:tcW w:w="1837" w:type="dxa"/>
            <w:vAlign w:val="center"/>
          </w:tcPr>
          <w:p w14:paraId="68CA71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14:paraId="25FD41D2">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65B77D9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34" w:type="dxa"/>
            <w:vAlign w:val="center"/>
          </w:tcPr>
          <w:p w14:paraId="4B590F1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837" w:type="dxa"/>
            <w:vAlign w:val="center"/>
          </w:tcPr>
          <w:p w14:paraId="32A6043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7FD2EED3">
      <w:pPr>
        <w:spacing w:after="0" w:line="360" w:lineRule="auto"/>
        <w:jc w:val="both"/>
        <w:rPr>
          <w:rFonts w:ascii="Times New Roman" w:hAnsi="Times New Roman" w:cs="Times New Roman"/>
          <w:sz w:val="24"/>
          <w:szCs w:val="24"/>
        </w:rPr>
      </w:pPr>
    </w:p>
    <w:p w14:paraId="5A21172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4283035F">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Dissatisfied</w:t>
      </w:r>
      <w:r>
        <w:rPr>
          <w:rFonts w:ascii="Times New Roman" w:hAnsi="Times New Roman" w:cs="Times New Roman"/>
          <w:sz w:val="24"/>
          <w:szCs w:val="24"/>
        </w:rPr>
        <w:t xml:space="preserve">: </w:t>
      </w:r>
      <w:r>
        <w:rPr>
          <w:rFonts w:ascii="Times New Roman" w:hAnsi="Times New Roman" w:cs="Times New Roman"/>
          <w:b/>
          <w:bCs/>
          <w:sz w:val="24"/>
          <w:szCs w:val="24"/>
        </w:rPr>
        <w:t>7.2%</w:t>
      </w:r>
      <w:r>
        <w:rPr>
          <w:rFonts w:ascii="Times New Roman" w:hAnsi="Times New Roman" w:cs="Times New Roman"/>
          <w:sz w:val="24"/>
          <w:szCs w:val="24"/>
        </w:rPr>
        <w:t xml:space="preserve"> of respondents are very dissatisfied with the service. This indicates a segment of customers who are extremely unhappy, which could be critical to address to prevent further churn.</w:t>
      </w:r>
    </w:p>
    <w:p w14:paraId="37252E2D">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Dissatisfied</w:t>
      </w:r>
      <w:r>
        <w:rPr>
          <w:rFonts w:ascii="Times New Roman" w:hAnsi="Times New Roman" w:cs="Times New Roman"/>
          <w:sz w:val="24"/>
          <w:szCs w:val="24"/>
        </w:rPr>
        <w:t xml:space="preserve">: </w:t>
      </w:r>
      <w:r>
        <w:rPr>
          <w:rFonts w:ascii="Times New Roman" w:hAnsi="Times New Roman" w:cs="Times New Roman"/>
          <w:b/>
          <w:bCs/>
          <w:sz w:val="24"/>
          <w:szCs w:val="24"/>
        </w:rPr>
        <w:t>14.5%</w:t>
      </w:r>
      <w:r>
        <w:rPr>
          <w:rFonts w:ascii="Times New Roman" w:hAnsi="Times New Roman" w:cs="Times New Roman"/>
          <w:sz w:val="24"/>
          <w:szCs w:val="24"/>
        </w:rPr>
        <w:t xml:space="preserve"> express dissatisfaction. Combined with the very dissatisfied group, this represents </w:t>
      </w:r>
      <w:r>
        <w:rPr>
          <w:rFonts w:ascii="Times New Roman" w:hAnsi="Times New Roman" w:cs="Times New Roman"/>
          <w:b/>
          <w:bCs/>
          <w:sz w:val="24"/>
          <w:szCs w:val="24"/>
        </w:rPr>
        <w:t>21.7%</w:t>
      </w:r>
      <w:r>
        <w:rPr>
          <w:rFonts w:ascii="Times New Roman" w:hAnsi="Times New Roman" w:cs="Times New Roman"/>
          <w:sz w:val="24"/>
          <w:szCs w:val="24"/>
        </w:rPr>
        <w:t xml:space="preserve"> of customers who are not pleased with their service, signaling a need for substantial improvements.</w:t>
      </w:r>
    </w:p>
    <w:p w14:paraId="286945F2">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Neutral</w:t>
      </w:r>
      <w:r>
        <w:rPr>
          <w:rFonts w:ascii="Times New Roman" w:hAnsi="Times New Roman" w:cs="Times New Roman"/>
          <w:sz w:val="24"/>
          <w:szCs w:val="24"/>
        </w:rPr>
        <w:t xml:space="preserve">: </w:t>
      </w:r>
      <w:r>
        <w:rPr>
          <w:rFonts w:ascii="Times New Roman" w:hAnsi="Times New Roman" w:cs="Times New Roman"/>
          <w:b/>
          <w:bCs/>
          <w:sz w:val="24"/>
          <w:szCs w:val="24"/>
        </w:rPr>
        <w:t>21.7%</w:t>
      </w:r>
      <w:r>
        <w:rPr>
          <w:rFonts w:ascii="Times New Roman" w:hAnsi="Times New Roman" w:cs="Times New Roman"/>
          <w:sz w:val="24"/>
          <w:szCs w:val="24"/>
        </w:rPr>
        <w:t xml:space="preserve"> are neutral, suggesting these customers neither strongly like nor dislike the service. This group might be more susceptible to switching if competitors offer better services.</w:t>
      </w:r>
    </w:p>
    <w:p w14:paraId="69AD2755">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Satisfied</w:t>
      </w:r>
      <w:r>
        <w:rPr>
          <w:rFonts w:ascii="Times New Roman" w:hAnsi="Times New Roman" w:cs="Times New Roman"/>
          <w:sz w:val="24"/>
          <w:szCs w:val="24"/>
        </w:rPr>
        <w:t xml:space="preserve">: </w:t>
      </w:r>
      <w:r>
        <w:rPr>
          <w:rFonts w:ascii="Times New Roman" w:hAnsi="Times New Roman" w:cs="Times New Roman"/>
          <w:b/>
          <w:bCs/>
          <w:sz w:val="24"/>
          <w:szCs w:val="24"/>
        </w:rPr>
        <w:t>36.1%</w:t>
      </w:r>
      <w:r>
        <w:rPr>
          <w:rFonts w:ascii="Times New Roman" w:hAnsi="Times New Roman" w:cs="Times New Roman"/>
          <w:sz w:val="24"/>
          <w:szCs w:val="24"/>
        </w:rPr>
        <w:t xml:space="preserve"> are satisfied, showing that a significant portion of customers have a positive view of their service, which is promising for customer retention.</w:t>
      </w:r>
    </w:p>
    <w:p w14:paraId="32CAE097">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Satisfied</w:t>
      </w:r>
      <w:r>
        <w:rPr>
          <w:rFonts w:ascii="Times New Roman" w:hAnsi="Times New Roman" w:cs="Times New Roman"/>
          <w:sz w:val="24"/>
          <w:szCs w:val="24"/>
        </w:rPr>
        <w:t xml:space="preserve">: </w:t>
      </w:r>
      <w:r>
        <w:rPr>
          <w:rFonts w:ascii="Times New Roman" w:hAnsi="Times New Roman" w:cs="Times New Roman"/>
          <w:b/>
          <w:bCs/>
          <w:sz w:val="24"/>
          <w:szCs w:val="24"/>
        </w:rPr>
        <w:t>20.5%</w:t>
      </w:r>
      <w:r>
        <w:rPr>
          <w:rFonts w:ascii="Times New Roman" w:hAnsi="Times New Roman" w:cs="Times New Roman"/>
          <w:sz w:val="24"/>
          <w:szCs w:val="24"/>
        </w:rPr>
        <w:t xml:space="preserve"> are very satisfied, reflecting a strong segment of loyal customers who are likely to remain with the provider and may even advocate for the service.</w:t>
      </w:r>
    </w:p>
    <w:p w14:paraId="2C16CC3C">
      <w:pPr>
        <w:pStyle w:val="5"/>
        <w:bidi w:val="0"/>
        <w:spacing w:line="360" w:lineRule="auto"/>
        <w:jc w:val="center"/>
      </w:pPr>
      <w:r>
        <w:t>Table 4.</w:t>
      </w:r>
      <w:r>
        <w:rPr>
          <w:rFonts w:hint="default"/>
          <w:lang w:val="en-US"/>
        </w:rPr>
        <w:t>1.</w:t>
      </w:r>
      <w:r>
        <w:t>8</w:t>
      </w:r>
      <w:r>
        <w:rPr>
          <w:rFonts w:hint="default"/>
          <w:lang w:val="en-US"/>
        </w:rPr>
        <w:t xml:space="preserve"> </w:t>
      </w:r>
      <w:r>
        <w:t>Likelihood of Switching Providers in the Next 6 Months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256"/>
        <w:gridCol w:w="1323"/>
        <w:gridCol w:w="1837"/>
      </w:tblGrid>
      <w:tr w14:paraId="30F8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420" w:type="dxa"/>
            <w:vAlign w:val="center"/>
          </w:tcPr>
          <w:p w14:paraId="01A5E94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Likelihood of Switching Providers in the Next 6 Months</w:t>
            </w:r>
          </w:p>
        </w:tc>
        <w:tc>
          <w:tcPr>
            <w:tcW w:w="1301" w:type="dxa"/>
            <w:vAlign w:val="center"/>
          </w:tcPr>
          <w:p w14:paraId="54F3D7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23" w:type="dxa"/>
            <w:vAlign w:val="center"/>
          </w:tcPr>
          <w:p w14:paraId="29A819F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1EE9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3ABA7F10">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Unlikely</w:t>
            </w:r>
          </w:p>
        </w:tc>
        <w:tc>
          <w:tcPr>
            <w:tcW w:w="1301" w:type="dxa"/>
            <w:vAlign w:val="center"/>
          </w:tcPr>
          <w:p w14:paraId="1FA96F1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240</w:t>
            </w:r>
          </w:p>
        </w:tc>
        <w:tc>
          <w:tcPr>
            <w:tcW w:w="1823" w:type="dxa"/>
            <w:vAlign w:val="center"/>
          </w:tcPr>
          <w:p w14:paraId="42179CD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17.3%</w:t>
            </w:r>
          </w:p>
        </w:tc>
      </w:tr>
      <w:tr w14:paraId="07BC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10AFA286">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Unlikely</w:t>
            </w:r>
          </w:p>
        </w:tc>
        <w:tc>
          <w:tcPr>
            <w:tcW w:w="1301" w:type="dxa"/>
            <w:vAlign w:val="center"/>
          </w:tcPr>
          <w:p w14:paraId="3CFAB14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823" w:type="dxa"/>
            <w:vAlign w:val="center"/>
          </w:tcPr>
          <w:p w14:paraId="7870501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0487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76F0EF6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Neutral</w:t>
            </w:r>
          </w:p>
        </w:tc>
        <w:tc>
          <w:tcPr>
            <w:tcW w:w="1301" w:type="dxa"/>
            <w:vAlign w:val="center"/>
          </w:tcPr>
          <w:p w14:paraId="141D99C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240</w:t>
            </w:r>
          </w:p>
        </w:tc>
        <w:tc>
          <w:tcPr>
            <w:tcW w:w="1823" w:type="dxa"/>
            <w:vAlign w:val="center"/>
          </w:tcPr>
          <w:p w14:paraId="4EA0A92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17.3%</w:t>
            </w:r>
          </w:p>
        </w:tc>
      </w:tr>
      <w:tr w14:paraId="717C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4C15F04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Likely</w:t>
            </w:r>
          </w:p>
        </w:tc>
        <w:tc>
          <w:tcPr>
            <w:tcW w:w="1301" w:type="dxa"/>
            <w:vAlign w:val="center"/>
          </w:tcPr>
          <w:p w14:paraId="00B0B60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c>
          <w:tcPr>
            <w:tcW w:w="1823" w:type="dxa"/>
            <w:vAlign w:val="center"/>
          </w:tcPr>
          <w:p w14:paraId="164509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57F1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44C5D6D4">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Likely</w:t>
            </w:r>
          </w:p>
        </w:tc>
        <w:tc>
          <w:tcPr>
            <w:tcW w:w="1301" w:type="dxa"/>
            <w:vAlign w:val="center"/>
          </w:tcPr>
          <w:p w14:paraId="74CF5F6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242</w:t>
            </w:r>
          </w:p>
        </w:tc>
        <w:tc>
          <w:tcPr>
            <w:tcW w:w="1823" w:type="dxa"/>
            <w:vAlign w:val="center"/>
          </w:tcPr>
          <w:p w14:paraId="528BCA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17.5%</w:t>
            </w:r>
          </w:p>
        </w:tc>
      </w:tr>
      <w:tr w14:paraId="2A0D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5B68CAC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01" w:type="dxa"/>
            <w:vAlign w:val="center"/>
          </w:tcPr>
          <w:p w14:paraId="5E37D50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823" w:type="dxa"/>
            <w:vAlign w:val="center"/>
          </w:tcPr>
          <w:p w14:paraId="1EF4A29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52F57C1">
      <w:pPr>
        <w:spacing w:after="0" w:line="360" w:lineRule="auto"/>
        <w:jc w:val="both"/>
        <w:rPr>
          <w:rFonts w:ascii="Times New Roman" w:hAnsi="Times New Roman" w:cs="Times New Roman"/>
          <w:sz w:val="24"/>
          <w:szCs w:val="24"/>
        </w:rPr>
      </w:pPr>
    </w:p>
    <w:p w14:paraId="6446774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7E5ADBC5">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Unlikely</w:t>
      </w:r>
      <w:r>
        <w:rPr>
          <w:rFonts w:ascii="Times New Roman" w:hAnsi="Times New Roman" w:cs="Times New Roman"/>
          <w:sz w:val="24"/>
          <w:szCs w:val="24"/>
        </w:rPr>
        <w:t xml:space="preserve">: </w:t>
      </w:r>
      <w:r>
        <w:rPr>
          <w:rFonts w:ascii="Times New Roman" w:hAnsi="Times New Roman" w:cs="Times New Roman"/>
          <w:b/>
          <w:bCs/>
          <w:sz w:val="24"/>
          <w:szCs w:val="24"/>
        </w:rPr>
        <w:t>17.3%</w:t>
      </w:r>
      <w:r>
        <w:rPr>
          <w:rFonts w:ascii="Times New Roman" w:hAnsi="Times New Roman" w:cs="Times New Roman"/>
          <w:sz w:val="24"/>
          <w:szCs w:val="24"/>
        </w:rPr>
        <w:t xml:space="preserve"> of respondents feel very unlikely to switch providers, indicating a stable segment of customers who are satisfied or have strong brand loyalty.</w:t>
      </w:r>
    </w:p>
    <w:p w14:paraId="7EAE13DE">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Unlikely</w:t>
      </w:r>
      <w:r>
        <w:rPr>
          <w:rFonts w:ascii="Times New Roman" w:hAnsi="Times New Roman" w:cs="Times New Roman"/>
          <w:sz w:val="24"/>
          <w:szCs w:val="24"/>
        </w:rPr>
        <w:t xml:space="preserve">: </w:t>
      </w:r>
      <w:r>
        <w:rPr>
          <w:rFonts w:ascii="Times New Roman" w:hAnsi="Times New Roman" w:cs="Times New Roman"/>
          <w:b/>
          <w:bCs/>
          <w:sz w:val="24"/>
          <w:szCs w:val="24"/>
        </w:rPr>
        <w:t>21.7%</w:t>
      </w:r>
      <w:r>
        <w:rPr>
          <w:rFonts w:ascii="Times New Roman" w:hAnsi="Times New Roman" w:cs="Times New Roman"/>
          <w:sz w:val="24"/>
          <w:szCs w:val="24"/>
        </w:rPr>
        <w:t xml:space="preserve"> are unlikely to switch, further supporting the notion that a substantial portion of customers are relatively stable, though not as committed as the very unlikely group.</w:t>
      </w:r>
    </w:p>
    <w:p w14:paraId="773D1CDD">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Neutral</w:t>
      </w:r>
      <w:r>
        <w:rPr>
          <w:rFonts w:ascii="Times New Roman" w:hAnsi="Times New Roman" w:cs="Times New Roman"/>
          <w:sz w:val="24"/>
          <w:szCs w:val="24"/>
        </w:rPr>
        <w:t xml:space="preserve">: </w:t>
      </w:r>
      <w:r>
        <w:rPr>
          <w:rFonts w:ascii="Times New Roman" w:hAnsi="Times New Roman" w:cs="Times New Roman"/>
          <w:b/>
          <w:bCs/>
          <w:sz w:val="24"/>
          <w:szCs w:val="24"/>
        </w:rPr>
        <w:t>17.3%</w:t>
      </w:r>
      <w:r>
        <w:rPr>
          <w:rFonts w:ascii="Times New Roman" w:hAnsi="Times New Roman" w:cs="Times New Roman"/>
          <w:sz w:val="24"/>
          <w:szCs w:val="24"/>
        </w:rPr>
        <w:t xml:space="preserve"> are neutral regarding their likelihood of switching. This indicates a group that may be open to change depending on future experiences or promotions.</w:t>
      </w:r>
    </w:p>
    <w:p w14:paraId="7E8935CE">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Likely</w:t>
      </w:r>
      <w:r>
        <w:rPr>
          <w:rFonts w:ascii="Times New Roman" w:hAnsi="Times New Roman" w:cs="Times New Roman"/>
          <w:sz w:val="24"/>
          <w:szCs w:val="24"/>
        </w:rPr>
        <w:t xml:space="preserve">: </w:t>
      </w:r>
      <w:r>
        <w:rPr>
          <w:rFonts w:ascii="Times New Roman" w:hAnsi="Times New Roman" w:cs="Times New Roman"/>
          <w:b/>
          <w:bCs/>
          <w:sz w:val="24"/>
          <w:szCs w:val="24"/>
        </w:rPr>
        <w:t>26.0%</w:t>
      </w:r>
      <w:r>
        <w:rPr>
          <w:rFonts w:ascii="Times New Roman" w:hAnsi="Times New Roman" w:cs="Times New Roman"/>
          <w:sz w:val="24"/>
          <w:szCs w:val="24"/>
        </w:rPr>
        <w:t xml:space="preserve"> are likely to switch providers, highlighting a significant portion of the customer base that could be at risk of churn. This group could be influenced by competitive offers or dissatisfaction with current services.</w:t>
      </w:r>
    </w:p>
    <w:p w14:paraId="2BFA0824">
      <w:pPr>
        <w:numPr>
          <w:ilvl w:val="0"/>
          <w:numId w:val="17"/>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Very Likely</w:t>
      </w:r>
      <w:r>
        <w:rPr>
          <w:rFonts w:ascii="Times New Roman" w:hAnsi="Times New Roman" w:cs="Times New Roman"/>
          <w:sz w:val="24"/>
          <w:szCs w:val="24"/>
        </w:rPr>
        <w:t xml:space="preserve">: </w:t>
      </w:r>
      <w:r>
        <w:rPr>
          <w:rFonts w:ascii="Times New Roman" w:hAnsi="Times New Roman" w:cs="Times New Roman"/>
          <w:b/>
          <w:bCs/>
          <w:sz w:val="24"/>
          <w:szCs w:val="24"/>
        </w:rPr>
        <w:t>17.5%</w:t>
      </w:r>
      <w:r>
        <w:rPr>
          <w:rFonts w:ascii="Times New Roman" w:hAnsi="Times New Roman" w:cs="Times New Roman"/>
          <w:sz w:val="24"/>
          <w:szCs w:val="24"/>
        </w:rPr>
        <w:t xml:space="preserve"> are very likely to switch, representing a critical group for churn prevention strategies. Addressing their concerns or offering incentives could be essential to reducing potential loss.</w:t>
      </w:r>
      <w:bookmarkStart w:id="3" w:name="_Hlk184218875"/>
    </w:p>
    <w:p w14:paraId="321729EA">
      <w:pPr>
        <w:pStyle w:val="5"/>
        <w:bidi w:val="0"/>
        <w:spacing w:line="360" w:lineRule="auto"/>
        <w:jc w:val="center"/>
      </w:pPr>
      <w:r>
        <w:t>Table 4.</w:t>
      </w:r>
      <w:r>
        <w:rPr>
          <w:rFonts w:hint="default"/>
          <w:lang w:val="en-US"/>
        </w:rPr>
        <w:t>1.</w:t>
      </w:r>
      <w:r>
        <w:t>9 Factors Influencing Likelihood to Switch Providers</w:t>
      </w:r>
    </w:p>
    <w:bookmarkEnd w:id="3"/>
    <w:tbl>
      <w:tblPr>
        <w:tblStyle w:val="12"/>
        <w:tblW w:w="0" w:type="auto"/>
        <w:jc w:val="center"/>
        <w:tblCellSpacing w:w="15"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5056"/>
        <w:gridCol w:w="1275"/>
        <w:gridCol w:w="1853"/>
      </w:tblGrid>
      <w:tr w14:paraId="39E548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011" w:type="dxa"/>
            <w:vAlign w:val="center"/>
          </w:tcPr>
          <w:p w14:paraId="3DAFD1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Factors Influencing Likelihood to Switch Providers</w:t>
            </w:r>
          </w:p>
        </w:tc>
        <w:tc>
          <w:tcPr>
            <w:tcW w:w="1245" w:type="dxa"/>
            <w:vAlign w:val="center"/>
          </w:tcPr>
          <w:p w14:paraId="1D13260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08" w:type="dxa"/>
            <w:vAlign w:val="center"/>
          </w:tcPr>
          <w:p w14:paraId="02A61E4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01186A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2C1404D3">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Service Quality</w:t>
            </w:r>
          </w:p>
        </w:tc>
        <w:tc>
          <w:tcPr>
            <w:tcW w:w="1245" w:type="dxa"/>
            <w:vAlign w:val="center"/>
          </w:tcPr>
          <w:p w14:paraId="1709E26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899</w:t>
            </w:r>
          </w:p>
        </w:tc>
        <w:tc>
          <w:tcPr>
            <w:tcW w:w="1808" w:type="dxa"/>
            <w:vAlign w:val="center"/>
          </w:tcPr>
          <w:p w14:paraId="713E60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65.0%</w:t>
            </w:r>
          </w:p>
        </w:tc>
      </w:tr>
      <w:tr w14:paraId="61C808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20BCFED7">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Cost</w:t>
            </w:r>
          </w:p>
        </w:tc>
        <w:tc>
          <w:tcPr>
            <w:tcW w:w="1245" w:type="dxa"/>
            <w:vAlign w:val="center"/>
          </w:tcPr>
          <w:p w14:paraId="0D89407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1037</w:t>
            </w:r>
          </w:p>
        </w:tc>
        <w:tc>
          <w:tcPr>
            <w:tcW w:w="1808" w:type="dxa"/>
            <w:vAlign w:val="center"/>
          </w:tcPr>
          <w:p w14:paraId="657C049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75.0%</w:t>
            </w:r>
          </w:p>
        </w:tc>
      </w:tr>
      <w:tr w14:paraId="49B744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51F1720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Offers and Promotions</w:t>
            </w:r>
          </w:p>
        </w:tc>
        <w:tc>
          <w:tcPr>
            <w:tcW w:w="1245" w:type="dxa"/>
            <w:vAlign w:val="center"/>
          </w:tcPr>
          <w:p w14:paraId="36B0CD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759</w:t>
            </w:r>
          </w:p>
        </w:tc>
        <w:tc>
          <w:tcPr>
            <w:tcW w:w="1808" w:type="dxa"/>
            <w:vAlign w:val="center"/>
          </w:tcPr>
          <w:p w14:paraId="37DA38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54.9%</w:t>
            </w:r>
          </w:p>
        </w:tc>
      </w:tr>
      <w:tr w14:paraId="6B1E84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16CE715B">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w:t>
            </w:r>
          </w:p>
        </w:tc>
        <w:tc>
          <w:tcPr>
            <w:tcW w:w="1245" w:type="dxa"/>
            <w:vAlign w:val="center"/>
          </w:tcPr>
          <w:p w14:paraId="08DF5B2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798</w:t>
            </w:r>
          </w:p>
        </w:tc>
        <w:tc>
          <w:tcPr>
            <w:tcW w:w="1808" w:type="dxa"/>
            <w:vAlign w:val="center"/>
          </w:tcPr>
          <w:p w14:paraId="7BB85EE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57.7%</w:t>
            </w:r>
          </w:p>
        </w:tc>
      </w:tr>
      <w:tr w14:paraId="052EB9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0CD51EA5">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w:t>
            </w:r>
          </w:p>
        </w:tc>
        <w:tc>
          <w:tcPr>
            <w:tcW w:w="1245" w:type="dxa"/>
            <w:vAlign w:val="center"/>
          </w:tcPr>
          <w:p w14:paraId="670557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660</w:t>
            </w:r>
          </w:p>
        </w:tc>
        <w:tc>
          <w:tcPr>
            <w:tcW w:w="1808" w:type="dxa"/>
            <w:vAlign w:val="center"/>
          </w:tcPr>
          <w:p w14:paraId="52EDBB1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47.7%</w:t>
            </w:r>
          </w:p>
        </w:tc>
      </w:tr>
      <w:tr w14:paraId="33C685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6C8C1ED3">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Ease of Switching</w:t>
            </w:r>
          </w:p>
        </w:tc>
        <w:tc>
          <w:tcPr>
            <w:tcW w:w="1245" w:type="dxa"/>
            <w:vAlign w:val="center"/>
          </w:tcPr>
          <w:p w14:paraId="5687868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808" w:type="dxa"/>
            <w:vAlign w:val="center"/>
          </w:tcPr>
          <w:p w14:paraId="283FD47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20F6B80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61F43A3A">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Other</w:t>
            </w:r>
          </w:p>
        </w:tc>
        <w:tc>
          <w:tcPr>
            <w:tcW w:w="1245" w:type="dxa"/>
            <w:vAlign w:val="center"/>
          </w:tcPr>
          <w:p w14:paraId="716AB4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40</w:t>
            </w:r>
          </w:p>
        </w:tc>
        <w:tc>
          <w:tcPr>
            <w:tcW w:w="1808" w:type="dxa"/>
            <w:vAlign w:val="center"/>
          </w:tcPr>
          <w:p w14:paraId="25A75F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2.9%</w:t>
            </w:r>
          </w:p>
        </w:tc>
      </w:tr>
    </w:tbl>
    <w:p w14:paraId="33FE24B5">
      <w:pPr>
        <w:spacing w:after="0" w:line="360" w:lineRule="auto"/>
        <w:jc w:val="both"/>
        <w:rPr>
          <w:rFonts w:ascii="Times New Roman" w:hAnsi="Times New Roman" w:cs="Times New Roman"/>
          <w:sz w:val="24"/>
          <w:szCs w:val="24"/>
        </w:rPr>
      </w:pPr>
    </w:p>
    <w:p w14:paraId="37D2F0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type of multi-response question, respondents can indicate more than one factor, so the totals across factors can exceed the overall number of respondents.</w:t>
      </w:r>
    </w:p>
    <w:p w14:paraId="51F726CD">
      <w:pPr>
        <w:spacing w:after="0" w:line="360" w:lineRule="auto"/>
        <w:jc w:val="both"/>
        <w:rPr>
          <w:rFonts w:ascii="Times New Roman" w:hAnsi="Times New Roman" w:cs="Times New Roman"/>
          <w:b/>
          <w:bCs/>
          <w:sz w:val="24"/>
          <w:szCs w:val="24"/>
        </w:rPr>
      </w:pPr>
    </w:p>
    <w:p w14:paraId="5EE0FFB8">
      <w:pPr>
        <w:spacing w:after="0" w:line="360" w:lineRule="auto"/>
        <w:jc w:val="both"/>
        <w:rPr>
          <w:rFonts w:ascii="Times New Roman" w:hAnsi="Times New Roman" w:cs="Times New Roman"/>
          <w:b/>
          <w:bCs/>
          <w:sz w:val="24"/>
          <w:szCs w:val="24"/>
        </w:rPr>
      </w:pPr>
    </w:p>
    <w:p w14:paraId="1D06E562">
      <w:pPr>
        <w:spacing w:after="0" w:line="360" w:lineRule="auto"/>
        <w:jc w:val="both"/>
        <w:rPr>
          <w:rFonts w:ascii="Times New Roman" w:hAnsi="Times New Roman" w:cs="Times New Roman"/>
          <w:b/>
          <w:bCs/>
          <w:sz w:val="24"/>
          <w:szCs w:val="24"/>
        </w:rPr>
      </w:pPr>
    </w:p>
    <w:p w14:paraId="7EB5E9A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7542F3A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Service Quality</w:t>
      </w:r>
      <w:r>
        <w:rPr>
          <w:rFonts w:ascii="Times New Roman" w:hAnsi="Times New Roman" w:cs="Times New Roman"/>
          <w:sz w:val="24"/>
          <w:szCs w:val="24"/>
        </w:rPr>
        <w:t xml:space="preserve">: </w:t>
      </w:r>
      <w:r>
        <w:rPr>
          <w:rFonts w:ascii="Times New Roman" w:hAnsi="Times New Roman" w:cs="Times New Roman"/>
          <w:b/>
          <w:bCs/>
          <w:sz w:val="24"/>
          <w:szCs w:val="24"/>
        </w:rPr>
        <w:t>65.0%</w:t>
      </w:r>
      <w:r>
        <w:rPr>
          <w:rFonts w:ascii="Times New Roman" w:hAnsi="Times New Roman" w:cs="Times New Roman"/>
          <w:sz w:val="24"/>
          <w:szCs w:val="24"/>
        </w:rPr>
        <w:t xml:space="preserve"> of respondents indicated that service quality influences their likelihood to switch providers. This suggests that a significant number of customers prioritize high-quality service, and improvements in this area could reduce churn.</w:t>
      </w:r>
    </w:p>
    <w:p w14:paraId="2489B0E6">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Cost</w:t>
      </w:r>
      <w:r>
        <w:rPr>
          <w:rFonts w:ascii="Times New Roman" w:hAnsi="Times New Roman" w:cs="Times New Roman"/>
          <w:sz w:val="24"/>
          <w:szCs w:val="24"/>
        </w:rPr>
        <w:t xml:space="preserve">: </w:t>
      </w:r>
      <w:r>
        <w:rPr>
          <w:rFonts w:ascii="Times New Roman" w:hAnsi="Times New Roman" w:cs="Times New Roman"/>
          <w:b/>
          <w:bCs/>
          <w:sz w:val="24"/>
          <w:szCs w:val="24"/>
        </w:rPr>
        <w:t>75.0%</w:t>
      </w:r>
      <w:r>
        <w:rPr>
          <w:rFonts w:ascii="Times New Roman" w:hAnsi="Times New Roman" w:cs="Times New Roman"/>
          <w:sz w:val="24"/>
          <w:szCs w:val="24"/>
        </w:rPr>
        <w:t xml:space="preserve"> of respondents are influenced by cost. This is the highest factor influencing customer decisions, indicating that pricing strategies and competitive offers are crucial for retaining customers.</w:t>
      </w:r>
    </w:p>
    <w:p w14:paraId="5154249F">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Offers and Promotions</w:t>
      </w:r>
      <w:r>
        <w:rPr>
          <w:rFonts w:ascii="Times New Roman" w:hAnsi="Times New Roman" w:cs="Times New Roman"/>
          <w:sz w:val="24"/>
          <w:szCs w:val="24"/>
        </w:rPr>
        <w:t xml:space="preserve">: </w:t>
      </w:r>
      <w:r>
        <w:rPr>
          <w:rFonts w:ascii="Times New Roman" w:hAnsi="Times New Roman" w:cs="Times New Roman"/>
          <w:b/>
          <w:bCs/>
          <w:sz w:val="24"/>
          <w:szCs w:val="24"/>
        </w:rPr>
        <w:t>54.9%</w:t>
      </w:r>
      <w:r>
        <w:rPr>
          <w:rFonts w:ascii="Times New Roman" w:hAnsi="Times New Roman" w:cs="Times New Roman"/>
          <w:sz w:val="24"/>
          <w:szCs w:val="24"/>
        </w:rPr>
        <w:t xml:space="preserve"> of respondents consider offers and promotions a key factor. Providing attractive deals and incentives can help in retaining customers and attracting those considering switching.</w:t>
      </w:r>
    </w:p>
    <w:p w14:paraId="240DC307">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w:t>
      </w:r>
      <w:r>
        <w:rPr>
          <w:rFonts w:ascii="Times New Roman" w:hAnsi="Times New Roman" w:cs="Times New Roman"/>
          <w:b/>
          <w:bCs/>
          <w:sz w:val="24"/>
          <w:szCs w:val="24"/>
        </w:rPr>
        <w:t>57.7%</w:t>
      </w:r>
      <w:r>
        <w:rPr>
          <w:rFonts w:ascii="Times New Roman" w:hAnsi="Times New Roman" w:cs="Times New Roman"/>
          <w:sz w:val="24"/>
          <w:szCs w:val="24"/>
        </w:rPr>
        <w:t xml:space="preserve"> of respondents are influenced by customer service. This underscores the importance of responsive and effective customer support in reducing churn.</w:t>
      </w:r>
    </w:p>
    <w:p w14:paraId="3EFFA029">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w:t>
      </w:r>
      <w:r>
        <w:rPr>
          <w:rFonts w:ascii="Times New Roman" w:hAnsi="Times New Roman" w:cs="Times New Roman"/>
          <w:b/>
          <w:bCs/>
          <w:sz w:val="24"/>
          <w:szCs w:val="24"/>
        </w:rPr>
        <w:t>47.7%</w:t>
      </w:r>
      <w:r>
        <w:rPr>
          <w:rFonts w:ascii="Times New Roman" w:hAnsi="Times New Roman" w:cs="Times New Roman"/>
          <w:sz w:val="24"/>
          <w:szCs w:val="24"/>
        </w:rPr>
        <w:t xml:space="preserve"> view network coverage as a factor. Ensuring comprehensive coverage and minimizing connectivity issues can help retain customers.</w:t>
      </w:r>
    </w:p>
    <w:p w14:paraId="6FB01CB5">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Ease of Switching</w:t>
      </w:r>
      <w:r>
        <w:rPr>
          <w:rFonts w:ascii="Times New Roman" w:hAnsi="Times New Roman" w:cs="Times New Roman"/>
          <w:sz w:val="24"/>
          <w:szCs w:val="24"/>
        </w:rPr>
        <w:t xml:space="preserve">: </w:t>
      </w:r>
      <w:r>
        <w:rPr>
          <w:rFonts w:ascii="Times New Roman" w:hAnsi="Times New Roman" w:cs="Times New Roman"/>
          <w:b/>
          <w:bCs/>
          <w:sz w:val="24"/>
          <w:szCs w:val="24"/>
        </w:rPr>
        <w:t>30.4%</w:t>
      </w:r>
      <w:r>
        <w:rPr>
          <w:rFonts w:ascii="Times New Roman" w:hAnsi="Times New Roman" w:cs="Times New Roman"/>
          <w:sz w:val="24"/>
          <w:szCs w:val="24"/>
        </w:rPr>
        <w:t xml:space="preserve"> of respondents find the ease of switching important. Making the switching process simple and hassle-free can either encourage customers to move or, if managed well, reduce the likelihood of them leaving.</w:t>
      </w:r>
    </w:p>
    <w:p w14:paraId="524A4776">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2.9%</w:t>
      </w:r>
      <w:r>
        <w:rPr>
          <w:rFonts w:ascii="Times New Roman" w:hAnsi="Times New Roman" w:cs="Times New Roman"/>
          <w:sz w:val="24"/>
          <w:szCs w:val="24"/>
        </w:rPr>
        <w:t xml:space="preserve"> of respondents selected other factors not listed. This indicates a small segment of unique concerns that may require further investigation to fully understand their impact.</w:t>
      </w:r>
    </w:p>
    <w:p w14:paraId="06A44F84">
      <w:pPr>
        <w:spacing w:after="0" w:line="360" w:lineRule="auto"/>
        <w:jc w:val="both"/>
        <w:rPr>
          <w:rFonts w:ascii="Times New Roman" w:hAnsi="Times New Roman" w:cs="Times New Roman"/>
          <w:b/>
          <w:bCs/>
          <w:sz w:val="24"/>
          <w:szCs w:val="24"/>
        </w:rPr>
      </w:pPr>
    </w:p>
    <w:p w14:paraId="6F412E2A">
      <w:pPr>
        <w:spacing w:after="0" w:line="360" w:lineRule="auto"/>
        <w:jc w:val="both"/>
        <w:rPr>
          <w:rFonts w:ascii="Times New Roman" w:hAnsi="Times New Roman" w:cs="Times New Roman"/>
          <w:b/>
          <w:bCs/>
          <w:sz w:val="24"/>
          <w:szCs w:val="24"/>
        </w:rPr>
      </w:pPr>
    </w:p>
    <w:p w14:paraId="688B1FAA">
      <w:pPr>
        <w:pStyle w:val="5"/>
        <w:bidi w:val="0"/>
        <w:spacing w:line="360" w:lineRule="auto"/>
        <w:jc w:val="center"/>
      </w:pPr>
      <w:r>
        <w:t>Table 4.</w:t>
      </w:r>
      <w:r>
        <w:rPr>
          <w:rFonts w:hint="default"/>
          <w:lang w:val="en-US"/>
        </w:rPr>
        <w:t>1.</w:t>
      </w:r>
      <w:r>
        <w:t>10 Additional Insights for Switching Providers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110"/>
        <w:gridCol w:w="1382"/>
        <w:gridCol w:w="1924"/>
      </w:tblGrid>
      <w:tr w14:paraId="349D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163" w:type="dxa"/>
            <w:vAlign w:val="center"/>
          </w:tcPr>
          <w:p w14:paraId="3C4ABD1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Primary Reasons for Considering Switching Providers</w:t>
            </w:r>
          </w:p>
        </w:tc>
        <w:tc>
          <w:tcPr>
            <w:tcW w:w="1357" w:type="dxa"/>
            <w:vAlign w:val="center"/>
          </w:tcPr>
          <w:p w14:paraId="1A45BAC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97" w:type="dxa"/>
            <w:vAlign w:val="center"/>
          </w:tcPr>
          <w:p w14:paraId="001B5B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0850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22613C46">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Poor Service Quality</w:t>
            </w:r>
          </w:p>
        </w:tc>
        <w:tc>
          <w:tcPr>
            <w:tcW w:w="1357" w:type="dxa"/>
            <w:vAlign w:val="center"/>
          </w:tcPr>
          <w:p w14:paraId="075220F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958</w:t>
            </w:r>
          </w:p>
        </w:tc>
        <w:tc>
          <w:tcPr>
            <w:tcW w:w="1897" w:type="dxa"/>
            <w:vAlign w:val="center"/>
          </w:tcPr>
          <w:p w14:paraId="74C6C3B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69.3%</w:t>
            </w:r>
          </w:p>
        </w:tc>
      </w:tr>
      <w:tr w14:paraId="0D6E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0DF71DD1">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High Costs</w:t>
            </w:r>
          </w:p>
        </w:tc>
        <w:tc>
          <w:tcPr>
            <w:tcW w:w="1357" w:type="dxa"/>
            <w:vAlign w:val="center"/>
          </w:tcPr>
          <w:p w14:paraId="5C3F885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1019</w:t>
            </w:r>
          </w:p>
        </w:tc>
        <w:tc>
          <w:tcPr>
            <w:tcW w:w="1897" w:type="dxa"/>
            <w:vAlign w:val="center"/>
          </w:tcPr>
          <w:p w14:paraId="0C5E019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73.7%</w:t>
            </w:r>
          </w:p>
        </w:tc>
      </w:tr>
      <w:tr w14:paraId="6FB3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726B1B2F">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Better Offers from Competitors</w:t>
            </w:r>
          </w:p>
        </w:tc>
        <w:tc>
          <w:tcPr>
            <w:tcW w:w="1357" w:type="dxa"/>
            <w:vAlign w:val="center"/>
          </w:tcPr>
          <w:p w14:paraId="11FEDC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840</w:t>
            </w:r>
          </w:p>
        </w:tc>
        <w:tc>
          <w:tcPr>
            <w:tcW w:w="1897" w:type="dxa"/>
            <w:vAlign w:val="center"/>
          </w:tcPr>
          <w:p w14:paraId="796D431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60.8%</w:t>
            </w:r>
          </w:p>
        </w:tc>
      </w:tr>
      <w:tr w14:paraId="5374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572FC204">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 Issues</w:t>
            </w:r>
          </w:p>
        </w:tc>
        <w:tc>
          <w:tcPr>
            <w:tcW w:w="1357" w:type="dxa"/>
            <w:vAlign w:val="center"/>
          </w:tcPr>
          <w:p w14:paraId="5E32E5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780</w:t>
            </w:r>
          </w:p>
        </w:tc>
        <w:tc>
          <w:tcPr>
            <w:tcW w:w="1897" w:type="dxa"/>
            <w:vAlign w:val="center"/>
          </w:tcPr>
          <w:p w14:paraId="61A6B4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56.4%</w:t>
            </w:r>
          </w:p>
        </w:tc>
      </w:tr>
      <w:tr w14:paraId="3775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459021C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 Issues</w:t>
            </w:r>
          </w:p>
        </w:tc>
        <w:tc>
          <w:tcPr>
            <w:tcW w:w="1357" w:type="dxa"/>
            <w:vAlign w:val="center"/>
          </w:tcPr>
          <w:p w14:paraId="456D15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639</w:t>
            </w:r>
          </w:p>
        </w:tc>
        <w:tc>
          <w:tcPr>
            <w:tcW w:w="1897" w:type="dxa"/>
            <w:vAlign w:val="center"/>
          </w:tcPr>
          <w:p w14:paraId="04CC94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46.2%</w:t>
            </w:r>
          </w:p>
        </w:tc>
      </w:tr>
      <w:tr w14:paraId="083E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21B83D4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Other</w:t>
            </w:r>
          </w:p>
        </w:tc>
        <w:tc>
          <w:tcPr>
            <w:tcW w:w="1357" w:type="dxa"/>
            <w:vAlign w:val="center"/>
          </w:tcPr>
          <w:p w14:paraId="341284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59</w:t>
            </w:r>
          </w:p>
        </w:tc>
        <w:tc>
          <w:tcPr>
            <w:tcW w:w="1897" w:type="dxa"/>
            <w:vAlign w:val="center"/>
          </w:tcPr>
          <w:p w14:paraId="457DDAC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4.3%</w:t>
            </w:r>
          </w:p>
        </w:tc>
      </w:tr>
    </w:tbl>
    <w:p w14:paraId="4F383C77">
      <w:pPr>
        <w:spacing w:after="0" w:line="360" w:lineRule="auto"/>
        <w:jc w:val="both"/>
        <w:rPr>
          <w:rFonts w:ascii="Times New Roman" w:hAnsi="Times New Roman" w:cs="Times New Roman"/>
          <w:sz w:val="24"/>
          <w:szCs w:val="24"/>
        </w:rPr>
      </w:pPr>
    </w:p>
    <w:p w14:paraId="3B746FA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a multi-response scenario, respondents can select more than one reason. As a result, the sum of these frequencies (958 + 1,019 + 840 + 780 + 639 + 59 = 4,295) exceeds 1,383. Each frequency represents the number (and estimated proportion) of respondents indicating that specific reason</w:t>
      </w:r>
    </w:p>
    <w:p w14:paraId="7CED46D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35C498A0">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Poor Service Quality</w:t>
      </w:r>
      <w:r>
        <w:rPr>
          <w:rFonts w:ascii="Times New Roman" w:hAnsi="Times New Roman" w:cs="Times New Roman"/>
          <w:sz w:val="24"/>
          <w:szCs w:val="24"/>
        </w:rPr>
        <w:t xml:space="preserve">: </w:t>
      </w:r>
      <w:r>
        <w:rPr>
          <w:rFonts w:ascii="Times New Roman" w:hAnsi="Times New Roman" w:cs="Times New Roman"/>
          <w:b/>
          <w:bCs/>
          <w:sz w:val="24"/>
          <w:szCs w:val="24"/>
        </w:rPr>
        <w:t>69.3%</w:t>
      </w:r>
      <w:r>
        <w:rPr>
          <w:rFonts w:ascii="Times New Roman" w:hAnsi="Times New Roman" w:cs="Times New Roman"/>
          <w:sz w:val="24"/>
          <w:szCs w:val="24"/>
        </w:rPr>
        <w:t xml:space="preserve"> of respondents cited poor service quality as a primary reason for considering switching. This indicates that addressing quality issues is critical to retaining customers.</w:t>
      </w:r>
    </w:p>
    <w:p w14:paraId="52201435">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High Costs</w:t>
      </w:r>
      <w:r>
        <w:rPr>
          <w:rFonts w:ascii="Times New Roman" w:hAnsi="Times New Roman" w:cs="Times New Roman"/>
          <w:sz w:val="24"/>
          <w:szCs w:val="24"/>
        </w:rPr>
        <w:t xml:space="preserve">: </w:t>
      </w:r>
      <w:r>
        <w:rPr>
          <w:rFonts w:ascii="Times New Roman" w:hAnsi="Times New Roman" w:cs="Times New Roman"/>
          <w:b/>
          <w:bCs/>
          <w:sz w:val="24"/>
          <w:szCs w:val="24"/>
        </w:rPr>
        <w:t>73.7%</w:t>
      </w:r>
      <w:r>
        <w:rPr>
          <w:rFonts w:ascii="Times New Roman" w:hAnsi="Times New Roman" w:cs="Times New Roman"/>
          <w:sz w:val="24"/>
          <w:szCs w:val="24"/>
        </w:rPr>
        <w:t xml:space="preserve"> of respondents are considering switching due to high costs. This reinforces the need for competitive pricing and cost-effective plans to improve customer retention.</w:t>
      </w:r>
    </w:p>
    <w:p w14:paraId="33B4062D">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Better Offers from Competitors</w:t>
      </w:r>
      <w:r>
        <w:rPr>
          <w:rFonts w:ascii="Times New Roman" w:hAnsi="Times New Roman" w:cs="Times New Roman"/>
          <w:sz w:val="24"/>
          <w:szCs w:val="24"/>
        </w:rPr>
        <w:t xml:space="preserve">: </w:t>
      </w:r>
      <w:r>
        <w:rPr>
          <w:rFonts w:ascii="Times New Roman" w:hAnsi="Times New Roman" w:cs="Times New Roman"/>
          <w:b/>
          <w:bCs/>
          <w:sz w:val="24"/>
          <w:szCs w:val="24"/>
        </w:rPr>
        <w:t>60.8%</w:t>
      </w:r>
      <w:r>
        <w:rPr>
          <w:rFonts w:ascii="Times New Roman" w:hAnsi="Times New Roman" w:cs="Times New Roman"/>
          <w:sz w:val="24"/>
          <w:szCs w:val="24"/>
        </w:rPr>
        <w:t xml:space="preserve"> are enticed by better offers from competitors. This highlights the importance of regular evaluations of competitors' offerings and ensuring that your own plans remain attractive.</w:t>
      </w:r>
    </w:p>
    <w:p w14:paraId="1C5DCCC8">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 Issues</w:t>
      </w:r>
      <w:r>
        <w:rPr>
          <w:rFonts w:ascii="Times New Roman" w:hAnsi="Times New Roman" w:cs="Times New Roman"/>
          <w:sz w:val="24"/>
          <w:szCs w:val="24"/>
        </w:rPr>
        <w:t xml:space="preserve">: </w:t>
      </w:r>
      <w:r>
        <w:rPr>
          <w:rFonts w:ascii="Times New Roman" w:hAnsi="Times New Roman" w:cs="Times New Roman"/>
          <w:b/>
          <w:bCs/>
          <w:sz w:val="24"/>
          <w:szCs w:val="24"/>
        </w:rPr>
        <w:t>56.4%</w:t>
      </w:r>
      <w:r>
        <w:rPr>
          <w:rFonts w:ascii="Times New Roman" w:hAnsi="Times New Roman" w:cs="Times New Roman"/>
          <w:sz w:val="24"/>
          <w:szCs w:val="24"/>
        </w:rPr>
        <w:t xml:space="preserve"> of respondents indicated customer service issues as a reason for switching. Enhancing customer service and resolving complaints efficiently can help in retaining customers.</w:t>
      </w:r>
    </w:p>
    <w:p w14:paraId="5585E5BA">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 Issues</w:t>
      </w:r>
      <w:r>
        <w:rPr>
          <w:rFonts w:ascii="Times New Roman" w:hAnsi="Times New Roman" w:cs="Times New Roman"/>
          <w:sz w:val="24"/>
          <w:szCs w:val="24"/>
        </w:rPr>
        <w:t xml:space="preserve">: </w:t>
      </w:r>
      <w:r>
        <w:rPr>
          <w:rFonts w:ascii="Times New Roman" w:hAnsi="Times New Roman" w:cs="Times New Roman"/>
          <w:b/>
          <w:bCs/>
          <w:sz w:val="24"/>
          <w:szCs w:val="24"/>
        </w:rPr>
        <w:t>46.2%</w:t>
      </w:r>
      <w:r>
        <w:rPr>
          <w:rFonts w:ascii="Times New Roman" w:hAnsi="Times New Roman" w:cs="Times New Roman"/>
          <w:sz w:val="24"/>
          <w:szCs w:val="24"/>
        </w:rPr>
        <w:t xml:space="preserve"> reported network coverage issues as a factor. Improving network infrastructure to provide better coverage can reduce the likelihood of customers switching.</w:t>
      </w:r>
    </w:p>
    <w:p w14:paraId="332DB094">
      <w:pPr>
        <w:numPr>
          <w:ilvl w:val="0"/>
          <w:numId w:val="19"/>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4.3%</w:t>
      </w:r>
      <w:r>
        <w:rPr>
          <w:rFonts w:ascii="Times New Roman" w:hAnsi="Times New Roman" w:cs="Times New Roman"/>
          <w:sz w:val="24"/>
          <w:szCs w:val="24"/>
        </w:rPr>
        <w:t xml:space="preserve"> provided other reasons not listed. This small percentage suggests that there may be niche concerns affecting a minor segment of the customer base.</w:t>
      </w:r>
    </w:p>
    <w:p w14:paraId="7ADBE6D1">
      <w:pPr>
        <w:pStyle w:val="3"/>
        <w:bidi w:val="0"/>
        <w:spacing w:line="360" w:lineRule="auto"/>
        <w:rPr>
          <w:b/>
          <w:bCs/>
        </w:rPr>
      </w:pPr>
      <w:bookmarkStart w:id="4" w:name="_Hlk184216417"/>
      <w:r>
        <w:rPr>
          <w:rFonts w:hint="default"/>
          <w:b/>
          <w:bCs/>
          <w:lang w:val="en-US"/>
        </w:rPr>
        <w:t>4.2</w:t>
      </w:r>
      <w:r>
        <w:rPr>
          <w:rFonts w:hint="default"/>
          <w:b/>
          <w:bCs/>
          <w:lang w:val="en-US"/>
        </w:rPr>
        <w:tab/>
      </w:r>
      <w:r>
        <w:rPr>
          <w:b/>
          <w:bCs/>
        </w:rPr>
        <w:t>Exploratory Data Analysis</w:t>
      </w:r>
    </w:p>
    <w:p w14:paraId="6132E3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exploratory data analysis (EDA) of the telecommunications customers profile is presented in Table 4.</w:t>
      </w:r>
      <w:r>
        <w:rPr>
          <w:rFonts w:hint="default" w:ascii="Times New Roman" w:hAnsi="Times New Roman" w:cs="Times New Roman"/>
          <w:sz w:val="24"/>
          <w:szCs w:val="24"/>
          <w:lang w:val="en-US"/>
        </w:rPr>
        <w:t>2</w:t>
      </w:r>
      <w:r>
        <w:rPr>
          <w:rFonts w:ascii="Times New Roman" w:hAnsi="Times New Roman" w:cs="Times New Roman"/>
          <w:sz w:val="24"/>
          <w:szCs w:val="24"/>
        </w:rPr>
        <w:t xml:space="preserve"> with features and their data types. It indicates that 13 features were selected for prediction of customers churn behaviour. A total of 1,383 data points were split into two for training and testing the ML models in the ratio of 8:2.</w:t>
      </w:r>
    </w:p>
    <w:p w14:paraId="0BEABBF4">
      <w:pPr>
        <w:shd w:val="clear" w:color="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features include Age, Gender, Subscription Type, Occupation, Educational Level, Monthly Spending (NGN), Contract Length (Months), Monthly Data Usage (GB), Primary Communication Method, Customer Complaints and Churn as the output variable with two outcomes ’Yes’ or ‘No’. The EDA further categorize the data types as follows: </w:t>
      </w:r>
      <w:r>
        <w:rPr>
          <w:rFonts w:ascii="Times New Roman" w:hAnsi="Times New Roman" w:eastAsia="Times New Roman" w:cs="Times New Roman"/>
          <w:color w:val="1F1F1F"/>
          <w:sz w:val="24"/>
          <w:szCs w:val="24"/>
        </w:rPr>
        <w:t>float64(1), int64(4), object(8) with a memory usage of 702.4+ KB.</w:t>
      </w:r>
    </w:p>
    <w:p w14:paraId="47393284">
      <w:pPr>
        <w:pStyle w:val="5"/>
        <w:bidi w:val="0"/>
        <w:spacing w:line="360" w:lineRule="auto"/>
        <w:jc w:val="center"/>
      </w:pPr>
      <w:r>
        <w:t>Table 4.</w:t>
      </w:r>
      <w:r>
        <w:rPr>
          <w:rFonts w:hint="default"/>
          <w:lang w:val="en-US"/>
        </w:rPr>
        <w:t>2</w:t>
      </w:r>
      <w:r>
        <w:t xml:space="preserve"> Features Set and their Data Types</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3600"/>
        <w:gridCol w:w="1530"/>
      </w:tblGrid>
      <w:tr w14:paraId="5754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853D89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S/N</w:t>
            </w:r>
          </w:p>
        </w:tc>
        <w:tc>
          <w:tcPr>
            <w:tcW w:w="3600" w:type="dxa"/>
            <w:vAlign w:val="center"/>
          </w:tcPr>
          <w:p w14:paraId="43A9864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Features</w:t>
            </w:r>
          </w:p>
        </w:tc>
        <w:tc>
          <w:tcPr>
            <w:tcW w:w="1530" w:type="dxa"/>
            <w:vAlign w:val="center"/>
          </w:tcPr>
          <w:p w14:paraId="599229A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14:paraId="6912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52A26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600" w:type="dxa"/>
            <w:vAlign w:val="center"/>
          </w:tcPr>
          <w:p w14:paraId="3B2DB52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Age</w:t>
            </w:r>
          </w:p>
        </w:tc>
        <w:tc>
          <w:tcPr>
            <w:tcW w:w="1530" w:type="dxa"/>
            <w:vAlign w:val="center"/>
          </w:tcPr>
          <w:p w14:paraId="638B10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2002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E6676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00" w:type="dxa"/>
            <w:vAlign w:val="center"/>
          </w:tcPr>
          <w:p w14:paraId="3BE3A1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Gender</w:t>
            </w:r>
          </w:p>
        </w:tc>
        <w:tc>
          <w:tcPr>
            <w:tcW w:w="1530" w:type="dxa"/>
            <w:vAlign w:val="center"/>
          </w:tcPr>
          <w:p w14:paraId="26A4EC1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4C20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124A6CE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00" w:type="dxa"/>
            <w:vAlign w:val="center"/>
          </w:tcPr>
          <w:p w14:paraId="4C3FF9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Subscription Type</w:t>
            </w:r>
          </w:p>
        </w:tc>
        <w:tc>
          <w:tcPr>
            <w:tcW w:w="1530" w:type="dxa"/>
            <w:vAlign w:val="center"/>
          </w:tcPr>
          <w:p w14:paraId="4D5B8C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61B8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239866E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600" w:type="dxa"/>
            <w:vAlign w:val="center"/>
          </w:tcPr>
          <w:p w14:paraId="28B134D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Occupation</w:t>
            </w:r>
          </w:p>
        </w:tc>
        <w:tc>
          <w:tcPr>
            <w:tcW w:w="1530" w:type="dxa"/>
            <w:vAlign w:val="center"/>
          </w:tcPr>
          <w:p w14:paraId="3145E6E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FF5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CAD924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600" w:type="dxa"/>
            <w:vAlign w:val="center"/>
          </w:tcPr>
          <w:p w14:paraId="29D0A56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Educational Level</w:t>
            </w:r>
          </w:p>
        </w:tc>
        <w:tc>
          <w:tcPr>
            <w:tcW w:w="1530" w:type="dxa"/>
            <w:vAlign w:val="center"/>
          </w:tcPr>
          <w:p w14:paraId="446709F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10F0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CB9D9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600" w:type="dxa"/>
            <w:vAlign w:val="center"/>
          </w:tcPr>
          <w:p w14:paraId="5C6A60F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Spending (NGN)</w:t>
            </w:r>
          </w:p>
        </w:tc>
        <w:tc>
          <w:tcPr>
            <w:tcW w:w="1530" w:type="dxa"/>
            <w:vAlign w:val="center"/>
          </w:tcPr>
          <w:p w14:paraId="7816776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7990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021F05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600" w:type="dxa"/>
            <w:vAlign w:val="center"/>
          </w:tcPr>
          <w:p w14:paraId="7B0F816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Contract Length (months)</w:t>
            </w:r>
          </w:p>
        </w:tc>
        <w:tc>
          <w:tcPr>
            <w:tcW w:w="1530" w:type="dxa"/>
            <w:vAlign w:val="center"/>
          </w:tcPr>
          <w:p w14:paraId="1CE4334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7078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41C1C1F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600" w:type="dxa"/>
            <w:vAlign w:val="center"/>
          </w:tcPr>
          <w:p w14:paraId="413B0A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Call Usage (Minutes)</w:t>
            </w:r>
          </w:p>
        </w:tc>
        <w:tc>
          <w:tcPr>
            <w:tcW w:w="1530" w:type="dxa"/>
            <w:vAlign w:val="center"/>
          </w:tcPr>
          <w:p w14:paraId="111868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5588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CFDC4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600" w:type="dxa"/>
            <w:vAlign w:val="center"/>
          </w:tcPr>
          <w:p w14:paraId="7F41559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Data usage (GB)</w:t>
            </w:r>
          </w:p>
        </w:tc>
        <w:tc>
          <w:tcPr>
            <w:tcW w:w="1530" w:type="dxa"/>
            <w:vAlign w:val="center"/>
          </w:tcPr>
          <w:p w14:paraId="087D99F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float64</w:t>
            </w:r>
          </w:p>
        </w:tc>
      </w:tr>
      <w:tr w14:paraId="5EF1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759708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3600" w:type="dxa"/>
            <w:vAlign w:val="center"/>
          </w:tcPr>
          <w:p w14:paraId="6D3E425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Primary Communication Method</w:t>
            </w:r>
          </w:p>
        </w:tc>
        <w:tc>
          <w:tcPr>
            <w:tcW w:w="1530" w:type="dxa"/>
            <w:vAlign w:val="center"/>
          </w:tcPr>
          <w:p w14:paraId="0884851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125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F33E2C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3600" w:type="dxa"/>
            <w:vAlign w:val="center"/>
          </w:tcPr>
          <w:p w14:paraId="3490746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Customer Complaints</w:t>
            </w:r>
          </w:p>
        </w:tc>
        <w:tc>
          <w:tcPr>
            <w:tcW w:w="1530" w:type="dxa"/>
            <w:vAlign w:val="center"/>
          </w:tcPr>
          <w:p w14:paraId="24CEEB4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D78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B73CBC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3600" w:type="dxa"/>
            <w:vAlign w:val="center"/>
          </w:tcPr>
          <w:p w14:paraId="245DE2F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Telecom Provider</w:t>
            </w:r>
          </w:p>
        </w:tc>
        <w:tc>
          <w:tcPr>
            <w:tcW w:w="1530" w:type="dxa"/>
            <w:vAlign w:val="center"/>
          </w:tcPr>
          <w:p w14:paraId="40D81A6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810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2EEAB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3600" w:type="dxa"/>
            <w:vAlign w:val="center"/>
          </w:tcPr>
          <w:p w14:paraId="792D4A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Churn</w:t>
            </w:r>
          </w:p>
        </w:tc>
        <w:tc>
          <w:tcPr>
            <w:tcW w:w="1530" w:type="dxa"/>
            <w:vAlign w:val="center"/>
          </w:tcPr>
          <w:p w14:paraId="599EB19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bl>
    <w:p w14:paraId="79BEED6A">
      <w:pPr>
        <w:spacing w:after="0" w:line="360" w:lineRule="auto"/>
        <w:rPr>
          <w:rFonts w:ascii="Courier New" w:hAnsi="Courier New" w:eastAsia="Times New Roman" w:cs="Courier New"/>
          <w:color w:val="1F1F1F"/>
          <w:sz w:val="20"/>
          <w:szCs w:val="20"/>
        </w:rPr>
      </w:pPr>
    </w:p>
    <w:p w14:paraId="2CA6EF46">
      <w:pPr>
        <w:spacing w:line="360" w:lineRule="auto"/>
        <w:jc w:val="both"/>
        <w:rPr>
          <w:rFonts w:ascii="Times New Roman" w:hAnsi="Times New Roman" w:cs="Times New Roman"/>
          <w:sz w:val="24"/>
          <w:szCs w:val="24"/>
        </w:rPr>
      </w:pPr>
      <w:r>
        <w:rPr>
          <w:rFonts w:ascii="Times New Roman" w:hAnsi="Times New Roman" w:cs="Times New Roman"/>
          <w:sz w:val="24"/>
          <w:szCs w:val="24"/>
        </w:rPr>
        <w:t>The Subscription Type are Prepaid and Postpaid; Occupation are Student, Self-employed, Employed, Unemployed; Primary Communication Method includes Call, Text, and Data while Educational Level is Secondary or Tertiary. Furthermore, Figures 4.</w:t>
      </w:r>
      <w:r>
        <w:rPr>
          <w:rFonts w:hint="default" w:ascii="Times New Roman" w:hAnsi="Times New Roman" w:cs="Times New Roman"/>
          <w:sz w:val="24"/>
          <w:szCs w:val="24"/>
          <w:lang w:val="en-US"/>
        </w:rPr>
        <w:t>2.1</w:t>
      </w:r>
      <w:r>
        <w:rPr>
          <w:rFonts w:ascii="Times New Roman" w:hAnsi="Times New Roman" w:cs="Times New Roman"/>
          <w:sz w:val="24"/>
          <w:szCs w:val="24"/>
        </w:rPr>
        <w:t xml:space="preserve"> – 4.</w:t>
      </w:r>
      <w:r>
        <w:rPr>
          <w:rFonts w:hint="default" w:ascii="Times New Roman" w:hAnsi="Times New Roman" w:cs="Times New Roman"/>
          <w:sz w:val="24"/>
          <w:szCs w:val="24"/>
          <w:lang w:val="en-US"/>
        </w:rPr>
        <w:t>2.7</w:t>
      </w:r>
      <w:r>
        <w:rPr>
          <w:rFonts w:ascii="Times New Roman" w:hAnsi="Times New Roman" w:cs="Times New Roman"/>
          <w:sz w:val="24"/>
          <w:szCs w:val="24"/>
        </w:rPr>
        <w:t xml:space="preserve"> presents the Telecom customers distribution based on Gender, Subscription Type, Occupation, Educational Level, Complaints, Communication Method and Churn Tendency.</w:t>
      </w:r>
    </w:p>
    <w:p w14:paraId="1B361C56">
      <w:pPr>
        <w:spacing w:line="360" w:lineRule="auto"/>
        <w:jc w:val="center"/>
      </w:pPr>
      <w:r>
        <w:drawing>
          <wp:inline distT="0" distB="0" distL="0" distR="0">
            <wp:extent cx="5267960" cy="3419475"/>
            <wp:effectExtent l="0" t="0" r="8890" b="9525"/>
            <wp:docPr id="1372857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7543"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85954" cy="3430788"/>
                    </a:xfrm>
                    <a:prstGeom prst="rect">
                      <a:avLst/>
                    </a:prstGeom>
                    <a:noFill/>
                    <a:ln>
                      <a:noFill/>
                    </a:ln>
                  </pic:spPr>
                </pic:pic>
              </a:graphicData>
            </a:graphic>
          </wp:inline>
        </w:drawing>
      </w:r>
    </w:p>
    <w:p w14:paraId="05E9C2CC">
      <w:pPr>
        <w:pStyle w:val="5"/>
        <w:bidi w:val="0"/>
        <w:spacing w:line="360" w:lineRule="auto"/>
        <w:jc w:val="center"/>
      </w:pPr>
      <w:r>
        <w:t>Figure 4.</w:t>
      </w:r>
      <w:r>
        <w:rPr>
          <w:rFonts w:hint="default"/>
          <w:lang w:val="en-US"/>
        </w:rPr>
        <w:t>2.1</w:t>
      </w:r>
      <w:r>
        <w:t xml:space="preserve"> Customers Distribution based on Gender</w:t>
      </w:r>
    </w:p>
    <w:p w14:paraId="73E2BE62">
      <w:pPr>
        <w:spacing w:line="360" w:lineRule="auto"/>
      </w:pPr>
    </w:p>
    <w:p w14:paraId="5CAEB13B">
      <w:pPr>
        <w:spacing w:line="360" w:lineRule="auto"/>
        <w:jc w:val="center"/>
      </w:pPr>
      <w:r>
        <w:drawing>
          <wp:inline distT="0" distB="0" distL="0" distR="0">
            <wp:extent cx="5143500" cy="3323590"/>
            <wp:effectExtent l="0" t="0" r="0" b="10160"/>
            <wp:docPr id="1045000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0175"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85137" cy="3350950"/>
                    </a:xfrm>
                    <a:prstGeom prst="rect">
                      <a:avLst/>
                    </a:prstGeom>
                    <a:noFill/>
                    <a:ln>
                      <a:noFill/>
                    </a:ln>
                  </pic:spPr>
                </pic:pic>
              </a:graphicData>
            </a:graphic>
          </wp:inline>
        </w:drawing>
      </w:r>
    </w:p>
    <w:p w14:paraId="7B2AE606">
      <w:pPr>
        <w:pStyle w:val="5"/>
        <w:bidi w:val="0"/>
        <w:spacing w:line="360" w:lineRule="auto"/>
        <w:jc w:val="center"/>
      </w:pPr>
      <w:r>
        <w:t>Figure 4.2</w:t>
      </w:r>
      <w:r>
        <w:rPr>
          <w:rFonts w:hint="default"/>
          <w:lang w:val="en-US"/>
        </w:rPr>
        <w:t>.2</w:t>
      </w:r>
      <w:r>
        <w:t xml:space="preserve"> Customers Distribution based on Subscription Type</w:t>
      </w:r>
    </w:p>
    <w:p w14:paraId="41F9265C">
      <w:pPr>
        <w:spacing w:line="360" w:lineRule="auto"/>
      </w:pPr>
    </w:p>
    <w:p w14:paraId="37C77009">
      <w:pPr>
        <w:spacing w:line="360" w:lineRule="auto"/>
        <w:jc w:val="center"/>
      </w:pPr>
      <w:r>
        <w:drawing>
          <wp:inline distT="0" distB="0" distL="0" distR="0">
            <wp:extent cx="4914900" cy="3638550"/>
            <wp:effectExtent l="0" t="0" r="0" b="0"/>
            <wp:docPr id="1297210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10953"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914900" cy="3638550"/>
                    </a:xfrm>
                    <a:prstGeom prst="rect">
                      <a:avLst/>
                    </a:prstGeom>
                    <a:noFill/>
                    <a:ln>
                      <a:noFill/>
                    </a:ln>
                  </pic:spPr>
                </pic:pic>
              </a:graphicData>
            </a:graphic>
          </wp:inline>
        </w:drawing>
      </w:r>
    </w:p>
    <w:p w14:paraId="7921ECD9">
      <w:pPr>
        <w:pStyle w:val="5"/>
        <w:bidi w:val="0"/>
        <w:spacing w:line="360" w:lineRule="auto"/>
        <w:jc w:val="center"/>
      </w:pPr>
      <w:r>
        <w:t>Figure 4.</w:t>
      </w:r>
      <w:r>
        <w:rPr>
          <w:rFonts w:hint="default"/>
          <w:lang w:val="en-US"/>
        </w:rPr>
        <w:t>2.3</w:t>
      </w:r>
      <w:r>
        <w:t xml:space="preserve"> Customers Distribution based on Occupation</w:t>
      </w:r>
    </w:p>
    <w:p w14:paraId="25882A09">
      <w:pPr>
        <w:spacing w:line="360" w:lineRule="auto"/>
      </w:pPr>
    </w:p>
    <w:p w14:paraId="73C14FA4">
      <w:pPr>
        <w:spacing w:line="360" w:lineRule="auto"/>
        <w:jc w:val="center"/>
      </w:pPr>
      <w:r>
        <w:drawing>
          <wp:inline distT="0" distB="0" distL="0" distR="0">
            <wp:extent cx="4886325" cy="3491230"/>
            <wp:effectExtent l="0" t="0" r="9525" b="13970"/>
            <wp:docPr id="1956973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3816"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888367" cy="3492689"/>
                    </a:xfrm>
                    <a:prstGeom prst="rect">
                      <a:avLst/>
                    </a:prstGeom>
                    <a:noFill/>
                    <a:ln>
                      <a:noFill/>
                    </a:ln>
                  </pic:spPr>
                </pic:pic>
              </a:graphicData>
            </a:graphic>
          </wp:inline>
        </w:drawing>
      </w:r>
    </w:p>
    <w:p w14:paraId="5A194581">
      <w:pPr>
        <w:pStyle w:val="5"/>
        <w:bidi w:val="0"/>
        <w:spacing w:line="360" w:lineRule="auto"/>
        <w:jc w:val="center"/>
      </w:pPr>
      <w:r>
        <w:t>Figure 4.</w:t>
      </w:r>
      <w:r>
        <w:rPr>
          <w:rFonts w:hint="default"/>
          <w:lang w:val="en-US"/>
        </w:rPr>
        <w:t>2.4</w:t>
      </w:r>
      <w:r>
        <w:t xml:space="preserve"> Customers Distribution based on Educational Level</w:t>
      </w:r>
    </w:p>
    <w:p w14:paraId="168C5AAE">
      <w:pPr>
        <w:spacing w:line="360" w:lineRule="auto"/>
        <w:jc w:val="center"/>
      </w:pPr>
      <w:r>
        <w:drawing>
          <wp:inline distT="0" distB="0" distL="0" distR="0">
            <wp:extent cx="4610100" cy="3804285"/>
            <wp:effectExtent l="0" t="0" r="0" b="5715"/>
            <wp:docPr id="990923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23066"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611886" cy="3806235"/>
                    </a:xfrm>
                    <a:prstGeom prst="rect">
                      <a:avLst/>
                    </a:prstGeom>
                    <a:noFill/>
                    <a:ln>
                      <a:noFill/>
                    </a:ln>
                  </pic:spPr>
                </pic:pic>
              </a:graphicData>
            </a:graphic>
          </wp:inline>
        </w:drawing>
      </w:r>
    </w:p>
    <w:p w14:paraId="217F7F82">
      <w:pPr>
        <w:pStyle w:val="5"/>
        <w:bidi w:val="0"/>
        <w:spacing w:line="360" w:lineRule="auto"/>
        <w:jc w:val="center"/>
      </w:pPr>
      <w:r>
        <w:t>Figure 4.</w:t>
      </w:r>
      <w:r>
        <w:rPr>
          <w:rFonts w:hint="default"/>
          <w:lang w:val="en-US"/>
        </w:rPr>
        <w:t>2.5</w:t>
      </w:r>
      <w:r>
        <w:t xml:space="preserve"> Customers Distribution based on Complaints</w:t>
      </w:r>
    </w:p>
    <w:p w14:paraId="334B5DD7">
      <w:pPr>
        <w:spacing w:line="360" w:lineRule="auto"/>
      </w:pPr>
    </w:p>
    <w:p w14:paraId="6D5BE31C">
      <w:pPr>
        <w:spacing w:line="360" w:lineRule="auto"/>
        <w:jc w:val="center"/>
      </w:pPr>
      <w:r>
        <w:drawing>
          <wp:inline distT="0" distB="0" distL="0" distR="0">
            <wp:extent cx="4867275" cy="3258820"/>
            <wp:effectExtent l="0" t="0" r="9525" b="17780"/>
            <wp:docPr id="1246848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804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878668" cy="3267040"/>
                    </a:xfrm>
                    <a:prstGeom prst="rect">
                      <a:avLst/>
                    </a:prstGeom>
                    <a:noFill/>
                    <a:ln>
                      <a:noFill/>
                    </a:ln>
                  </pic:spPr>
                </pic:pic>
              </a:graphicData>
            </a:graphic>
          </wp:inline>
        </w:drawing>
      </w:r>
    </w:p>
    <w:p w14:paraId="7924997C">
      <w:pPr>
        <w:pStyle w:val="5"/>
        <w:bidi w:val="0"/>
        <w:spacing w:line="360" w:lineRule="auto"/>
        <w:jc w:val="center"/>
      </w:pPr>
      <w:r>
        <w:t>Figure 4.</w:t>
      </w:r>
      <w:r>
        <w:rPr>
          <w:rFonts w:hint="default"/>
          <w:lang w:val="en-US"/>
        </w:rPr>
        <w:t>2.6</w:t>
      </w:r>
      <w:r>
        <w:t xml:space="preserve"> Customers Distribution based on Communication Method</w:t>
      </w:r>
    </w:p>
    <w:p w14:paraId="0C21350B">
      <w:pPr>
        <w:spacing w:line="360" w:lineRule="auto"/>
        <w:jc w:val="center"/>
      </w:pPr>
      <w:r>
        <w:drawing>
          <wp:inline distT="0" distB="0" distL="0" distR="0">
            <wp:extent cx="4581525" cy="3115310"/>
            <wp:effectExtent l="0" t="0" r="9525" b="8890"/>
            <wp:docPr id="986938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8931"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590312" cy="3121511"/>
                    </a:xfrm>
                    <a:prstGeom prst="rect">
                      <a:avLst/>
                    </a:prstGeom>
                    <a:noFill/>
                    <a:ln>
                      <a:noFill/>
                    </a:ln>
                  </pic:spPr>
                </pic:pic>
              </a:graphicData>
            </a:graphic>
          </wp:inline>
        </w:drawing>
      </w:r>
    </w:p>
    <w:p w14:paraId="70FC985F">
      <w:pPr>
        <w:pStyle w:val="5"/>
        <w:bidi w:val="0"/>
        <w:spacing w:line="360" w:lineRule="auto"/>
        <w:jc w:val="center"/>
      </w:pPr>
      <w:r>
        <w:t>Figure 4.</w:t>
      </w:r>
      <w:r>
        <w:rPr>
          <w:rFonts w:hint="default"/>
          <w:lang w:val="en-US"/>
        </w:rPr>
        <w:t>2.</w:t>
      </w:r>
      <w:r>
        <w:t>7 Customers Distribution based on Churning</w:t>
      </w:r>
    </w:p>
    <w:p w14:paraId="256E6941">
      <w:pPr>
        <w:spacing w:line="360" w:lineRule="auto"/>
      </w:pPr>
    </w:p>
    <w:p w14:paraId="17C89618">
      <w:pPr>
        <w:spacing w:after="0" w:line="360" w:lineRule="auto"/>
        <w:rPr>
          <w:rFonts w:ascii="Times New Roman" w:hAnsi="Times New Roman" w:cs="Times New Roman"/>
          <w:sz w:val="24"/>
          <w:szCs w:val="24"/>
        </w:rPr>
      </w:pPr>
      <w:r>
        <w:rPr>
          <w:rFonts w:ascii="Times New Roman" w:hAnsi="Times New Roman" w:cs="Times New Roman"/>
          <w:sz w:val="24"/>
          <w:szCs w:val="24"/>
        </w:rPr>
        <w:t>The customers distribution be</w:t>
      </w:r>
      <w:r>
        <w:rPr>
          <w:rFonts w:hint="default" w:ascii="Times New Roman" w:hAnsi="Times New Roman" w:cs="Times New Roman"/>
          <w:sz w:val="24"/>
          <w:szCs w:val="24"/>
          <w:lang w:val="en-US"/>
        </w:rPr>
        <w:t>ing</w:t>
      </w:r>
      <w:r>
        <w:rPr>
          <w:rFonts w:ascii="Times New Roman" w:hAnsi="Times New Roman" w:cs="Times New Roman"/>
          <w:sz w:val="24"/>
          <w:szCs w:val="24"/>
        </w:rPr>
        <w:t xml:space="preserve"> Age, Monthly Spending, Contract Length (Months), Monthly call Usage (Minutes), and Monthly Data Usage (GB) are presented in Figures 4.</w:t>
      </w:r>
      <w:r>
        <w:rPr>
          <w:rFonts w:hint="default" w:ascii="Times New Roman" w:hAnsi="Times New Roman" w:cs="Times New Roman"/>
          <w:sz w:val="24"/>
          <w:szCs w:val="24"/>
          <w:lang w:val="en-US"/>
        </w:rPr>
        <w:t>2.</w:t>
      </w:r>
      <w:r>
        <w:rPr>
          <w:rFonts w:ascii="Times New Roman" w:hAnsi="Times New Roman" w:cs="Times New Roman"/>
          <w:sz w:val="24"/>
          <w:szCs w:val="24"/>
        </w:rPr>
        <w:t>8</w:t>
      </w:r>
      <w:r>
        <w:rPr>
          <w:rFonts w:hint="default" w:ascii="Times New Roman" w:hAnsi="Times New Roman" w:cs="Times New Roman"/>
          <w:sz w:val="24"/>
          <w:szCs w:val="24"/>
          <w:lang w:val="en-US"/>
        </w:rPr>
        <w:t xml:space="preserve"> </w:t>
      </w:r>
      <w:r>
        <w:rPr>
          <w:rFonts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ascii="Times New Roman" w:hAnsi="Times New Roman" w:cs="Times New Roman"/>
          <w:sz w:val="24"/>
          <w:szCs w:val="24"/>
        </w:rPr>
        <w:t>4.</w:t>
      </w:r>
      <w:r>
        <w:rPr>
          <w:rFonts w:hint="default" w:ascii="Times New Roman" w:hAnsi="Times New Roman" w:cs="Times New Roman"/>
          <w:sz w:val="24"/>
          <w:szCs w:val="24"/>
          <w:lang w:val="en-US"/>
        </w:rPr>
        <w:t>2.</w:t>
      </w:r>
      <w:r>
        <w:rPr>
          <w:rFonts w:ascii="Times New Roman" w:hAnsi="Times New Roman" w:cs="Times New Roman"/>
          <w:sz w:val="24"/>
          <w:szCs w:val="24"/>
        </w:rPr>
        <w:t>12.</w:t>
      </w:r>
    </w:p>
    <w:p w14:paraId="0532C208">
      <w:pPr>
        <w:shd w:val="clear" w:color="auto" w:fill="FFFFFF"/>
        <w:spacing w:after="0" w:line="360" w:lineRule="auto"/>
        <w:jc w:val="center"/>
        <w:rPr>
          <w:rFonts w:ascii="Roboto" w:hAnsi="Roboto" w:eastAsia="Times New Roman" w:cs="Times New Roman"/>
          <w:color w:val="1F1F1F"/>
          <w:sz w:val="21"/>
          <w:szCs w:val="21"/>
        </w:rPr>
      </w:pPr>
      <w:r>
        <w:drawing>
          <wp:inline distT="0" distB="0" distL="0" distR="0">
            <wp:extent cx="4600575" cy="3114040"/>
            <wp:effectExtent l="0" t="0" r="9525" b="10160"/>
            <wp:docPr id="1926995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5233"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604623" cy="3116975"/>
                    </a:xfrm>
                    <a:prstGeom prst="rect">
                      <a:avLst/>
                    </a:prstGeom>
                    <a:noFill/>
                    <a:ln>
                      <a:noFill/>
                    </a:ln>
                  </pic:spPr>
                </pic:pic>
              </a:graphicData>
            </a:graphic>
          </wp:inline>
        </w:drawing>
      </w:r>
    </w:p>
    <w:p w14:paraId="074A5FF0">
      <w:pPr>
        <w:pStyle w:val="5"/>
        <w:bidi w:val="0"/>
        <w:spacing w:line="360" w:lineRule="auto"/>
        <w:jc w:val="center"/>
      </w:pPr>
      <w:r>
        <w:t>Figure 4.</w:t>
      </w:r>
      <w:r>
        <w:rPr>
          <w:rFonts w:hint="default"/>
          <w:lang w:val="en-US"/>
        </w:rPr>
        <w:t>2.</w:t>
      </w:r>
      <w:r>
        <w:t>8 Customers Distribution based on Age</w:t>
      </w:r>
    </w:p>
    <w:p w14:paraId="4B4F220D">
      <w:pPr>
        <w:shd w:val="clear" w:color="auto" w:fill="FFFFFF"/>
        <w:spacing w:after="0" w:line="360" w:lineRule="auto"/>
        <w:rPr>
          <w:rFonts w:ascii="Roboto" w:hAnsi="Roboto" w:eastAsia="Times New Roman" w:cs="Times New Roman"/>
          <w:color w:val="1F1F1F"/>
          <w:sz w:val="21"/>
          <w:szCs w:val="21"/>
        </w:rPr>
      </w:pPr>
    </w:p>
    <w:p w14:paraId="35DA187A">
      <w:pPr>
        <w:shd w:val="clear" w:color="auto" w:fill="FFFFFF"/>
        <w:spacing w:after="0" w:line="360" w:lineRule="auto"/>
        <w:jc w:val="center"/>
        <w:rPr>
          <w:rFonts w:ascii="Roboto" w:hAnsi="Roboto" w:eastAsia="Times New Roman" w:cs="Times New Roman"/>
          <w:color w:val="1F1F1F"/>
          <w:sz w:val="21"/>
          <w:szCs w:val="21"/>
        </w:rPr>
      </w:pPr>
      <w:r>
        <w:drawing>
          <wp:inline distT="0" distB="0" distL="0" distR="0">
            <wp:extent cx="4543425" cy="3075305"/>
            <wp:effectExtent l="0" t="0" r="9525" b="10795"/>
            <wp:docPr id="1290562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2386"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55005" cy="3083389"/>
                    </a:xfrm>
                    <a:prstGeom prst="rect">
                      <a:avLst/>
                    </a:prstGeom>
                    <a:noFill/>
                    <a:ln>
                      <a:noFill/>
                    </a:ln>
                  </pic:spPr>
                </pic:pic>
              </a:graphicData>
            </a:graphic>
          </wp:inline>
        </w:drawing>
      </w:r>
    </w:p>
    <w:p w14:paraId="0AE9CC4D">
      <w:pPr>
        <w:pStyle w:val="5"/>
        <w:bidi w:val="0"/>
        <w:spacing w:line="360" w:lineRule="auto"/>
        <w:jc w:val="center"/>
      </w:pPr>
      <w:r>
        <w:t>Figure 4.</w:t>
      </w:r>
      <w:r>
        <w:rPr>
          <w:rFonts w:hint="default"/>
          <w:lang w:val="en-US"/>
        </w:rPr>
        <w:t>2.</w:t>
      </w:r>
      <w:r>
        <w:t>9 Customers Distribution based on Monthly Spending (NGN)</w:t>
      </w:r>
    </w:p>
    <w:p w14:paraId="464F607E">
      <w:pPr>
        <w:shd w:val="clear" w:color="auto"/>
        <w:spacing w:after="0" w:line="360" w:lineRule="auto"/>
        <w:rPr>
          <w:rFonts w:ascii="Times New Roman" w:hAnsi="Times New Roman" w:eastAsia="Times New Roman" w:cs="Times New Roman"/>
          <w:b/>
          <w:bCs/>
          <w:color w:val="1F1F1F"/>
          <w:sz w:val="24"/>
          <w:szCs w:val="24"/>
        </w:rPr>
      </w:pPr>
    </w:p>
    <w:p w14:paraId="6E35964A">
      <w:pPr>
        <w:shd w:val="clear" w:color="auto"/>
        <w:spacing w:after="0" w:line="360" w:lineRule="auto"/>
        <w:rPr>
          <w:rFonts w:ascii="Roboto" w:hAnsi="Roboto" w:eastAsia="Times New Roman" w:cs="Times New Roman"/>
          <w:b/>
          <w:bCs/>
          <w:color w:val="1F1F1F"/>
          <w:sz w:val="21"/>
          <w:szCs w:val="21"/>
        </w:rPr>
      </w:pPr>
      <w:bookmarkStart w:id="6" w:name="_GoBack"/>
      <w:bookmarkEnd w:id="6"/>
    </w:p>
    <w:p w14:paraId="18D390E4">
      <w:pPr>
        <w:spacing w:after="0" w:line="360" w:lineRule="auto"/>
        <w:jc w:val="center"/>
        <w:rPr>
          <w:rFonts w:ascii="Times New Roman" w:hAnsi="Times New Roman" w:cs="Times New Roman"/>
          <w:sz w:val="24"/>
          <w:szCs w:val="24"/>
        </w:rPr>
      </w:pPr>
      <w:r>
        <w:drawing>
          <wp:inline distT="0" distB="0" distL="0" distR="0">
            <wp:extent cx="4980940" cy="3371850"/>
            <wp:effectExtent l="0" t="0" r="10160" b="0"/>
            <wp:docPr id="1348627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7793"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88060" cy="3376534"/>
                    </a:xfrm>
                    <a:prstGeom prst="rect">
                      <a:avLst/>
                    </a:prstGeom>
                    <a:noFill/>
                    <a:ln>
                      <a:noFill/>
                    </a:ln>
                  </pic:spPr>
                </pic:pic>
              </a:graphicData>
            </a:graphic>
          </wp:inline>
        </w:drawing>
      </w:r>
    </w:p>
    <w:p w14:paraId="076A45FC">
      <w:pPr>
        <w:pStyle w:val="5"/>
        <w:bidi w:val="0"/>
        <w:spacing w:line="360" w:lineRule="auto"/>
        <w:jc w:val="center"/>
      </w:pPr>
      <w:r>
        <w:t>Figure 4.</w:t>
      </w:r>
      <w:r>
        <w:rPr>
          <w:rFonts w:hint="default"/>
          <w:lang w:val="en-US"/>
        </w:rPr>
        <w:t>2.</w:t>
      </w:r>
      <w:r>
        <w:t>10 Customers Distribution based on Contract Length (Months)</w:t>
      </w:r>
    </w:p>
    <w:p w14:paraId="130B8F25">
      <w:pPr>
        <w:spacing w:after="0" w:line="360" w:lineRule="auto"/>
        <w:rPr>
          <w:rFonts w:ascii="Times New Roman" w:hAnsi="Times New Roman" w:eastAsia="Times New Roman" w:cs="Times New Roman"/>
          <w:color w:val="1F1F1F"/>
          <w:sz w:val="24"/>
          <w:szCs w:val="24"/>
        </w:rPr>
      </w:pPr>
    </w:p>
    <w:p w14:paraId="3D7F3391">
      <w:pPr>
        <w:spacing w:after="0" w:line="360" w:lineRule="auto"/>
        <w:rPr>
          <w:rFonts w:ascii="Times New Roman" w:hAnsi="Times New Roman" w:eastAsia="Times New Roman" w:cs="Times New Roman"/>
          <w:color w:val="1F1F1F"/>
          <w:sz w:val="24"/>
          <w:szCs w:val="24"/>
        </w:rPr>
      </w:pPr>
    </w:p>
    <w:p w14:paraId="53EA1332">
      <w:pPr>
        <w:spacing w:after="0" w:line="360" w:lineRule="auto"/>
        <w:jc w:val="center"/>
        <w:rPr>
          <w:rFonts w:ascii="Times New Roman" w:hAnsi="Times New Roman" w:cs="Times New Roman"/>
          <w:sz w:val="24"/>
          <w:szCs w:val="24"/>
        </w:rPr>
      </w:pPr>
      <w:r>
        <w:drawing>
          <wp:inline distT="0" distB="0" distL="0" distR="0">
            <wp:extent cx="5036820" cy="3409950"/>
            <wp:effectExtent l="0" t="0" r="11430" b="0"/>
            <wp:docPr id="974327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7217"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045568" cy="3415461"/>
                    </a:xfrm>
                    <a:prstGeom prst="rect">
                      <a:avLst/>
                    </a:prstGeom>
                    <a:noFill/>
                    <a:ln>
                      <a:noFill/>
                    </a:ln>
                  </pic:spPr>
                </pic:pic>
              </a:graphicData>
            </a:graphic>
          </wp:inline>
        </w:drawing>
      </w:r>
    </w:p>
    <w:p w14:paraId="55EF56FB">
      <w:pPr>
        <w:pStyle w:val="5"/>
        <w:bidi w:val="0"/>
        <w:spacing w:line="360" w:lineRule="auto"/>
        <w:jc w:val="center"/>
      </w:pPr>
      <w:r>
        <w:t>Figure 4.</w:t>
      </w:r>
      <w:r>
        <w:rPr>
          <w:rFonts w:hint="default"/>
          <w:lang w:val="en-US"/>
        </w:rPr>
        <w:t>2.</w:t>
      </w:r>
      <w:r>
        <w:t>11 Customers Distribution based on Monthly Call Usage (Minutes)</w:t>
      </w:r>
    </w:p>
    <w:p w14:paraId="59E8B1A6">
      <w:pPr>
        <w:spacing w:after="0" w:line="360" w:lineRule="auto"/>
        <w:rPr>
          <w:rFonts w:ascii="Times New Roman" w:hAnsi="Times New Roman" w:cs="Times New Roman"/>
          <w:sz w:val="24"/>
          <w:szCs w:val="24"/>
        </w:rPr>
      </w:pPr>
    </w:p>
    <w:p w14:paraId="4EF41EAC">
      <w:pPr>
        <w:spacing w:after="0" w:line="360" w:lineRule="auto"/>
        <w:rPr>
          <w:rFonts w:ascii="Times New Roman" w:hAnsi="Times New Roman" w:cs="Times New Roman"/>
          <w:sz w:val="24"/>
          <w:szCs w:val="24"/>
        </w:rPr>
      </w:pPr>
    </w:p>
    <w:p w14:paraId="06497F82">
      <w:pPr>
        <w:spacing w:after="0" w:line="360" w:lineRule="auto"/>
        <w:jc w:val="center"/>
        <w:rPr>
          <w:rFonts w:ascii="Times New Roman" w:hAnsi="Times New Roman" w:cs="Times New Roman"/>
          <w:sz w:val="24"/>
          <w:szCs w:val="24"/>
        </w:rPr>
      </w:pPr>
      <w:r>
        <w:drawing>
          <wp:inline distT="0" distB="0" distL="0" distR="0">
            <wp:extent cx="4839970" cy="3276600"/>
            <wp:effectExtent l="0" t="0" r="17780" b="0"/>
            <wp:docPr id="1260108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08563"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844694" cy="3279485"/>
                    </a:xfrm>
                    <a:prstGeom prst="rect">
                      <a:avLst/>
                    </a:prstGeom>
                    <a:noFill/>
                    <a:ln>
                      <a:noFill/>
                    </a:ln>
                  </pic:spPr>
                </pic:pic>
              </a:graphicData>
            </a:graphic>
          </wp:inline>
        </w:drawing>
      </w:r>
    </w:p>
    <w:p w14:paraId="4CAD5B98">
      <w:pPr>
        <w:pStyle w:val="5"/>
        <w:bidi w:val="0"/>
        <w:spacing w:line="360" w:lineRule="auto"/>
        <w:jc w:val="center"/>
      </w:pPr>
      <w:r>
        <w:t>Figure 4.</w:t>
      </w:r>
      <w:r>
        <w:rPr>
          <w:rFonts w:hint="default"/>
          <w:lang w:val="en-US"/>
        </w:rPr>
        <w:t>2.</w:t>
      </w:r>
      <w:r>
        <w:t>12 Customers Distribution based on Monthly Data Usage (GB)</w:t>
      </w:r>
    </w:p>
    <w:p w14:paraId="319FA6FE">
      <w:pPr>
        <w:spacing w:after="0" w:line="360" w:lineRule="auto"/>
        <w:rPr>
          <w:rFonts w:ascii="Times New Roman" w:hAnsi="Times New Roman" w:cs="Times New Roman"/>
          <w:sz w:val="24"/>
          <w:szCs w:val="24"/>
        </w:rPr>
      </w:pPr>
    </w:p>
    <w:p w14:paraId="54D630C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correlation heatmap in Figure 4</w:t>
      </w:r>
      <w:r>
        <w:rPr>
          <w:rFonts w:hint="default" w:ascii="Times New Roman" w:hAnsi="Times New Roman" w:cs="Times New Roman"/>
          <w:sz w:val="24"/>
          <w:szCs w:val="24"/>
          <w:lang w:val="en-US"/>
        </w:rPr>
        <w:t>.2</w:t>
      </w:r>
      <w:r>
        <w:rPr>
          <w:rFonts w:ascii="Times New Roman" w:hAnsi="Times New Roman" w:cs="Times New Roman"/>
          <w:sz w:val="24"/>
          <w:szCs w:val="24"/>
        </w:rPr>
        <w:t>.13 is used for feature engineering indicating important features for extraction and selection in the task of machine learning model building. Figure 4</w:t>
      </w:r>
      <w:r>
        <w:rPr>
          <w:rFonts w:hint="default" w:ascii="Times New Roman" w:hAnsi="Times New Roman" w:cs="Times New Roman"/>
          <w:sz w:val="24"/>
          <w:szCs w:val="24"/>
          <w:lang w:val="en-US"/>
        </w:rPr>
        <w:t>.2</w:t>
      </w:r>
      <w:r>
        <w:rPr>
          <w:rFonts w:ascii="Times New Roman" w:hAnsi="Times New Roman" w:cs="Times New Roman"/>
          <w:sz w:val="24"/>
          <w:szCs w:val="24"/>
        </w:rPr>
        <w:t>.13 shows the relationships between various numerical features in the telecommunications customer dataset, which can be used for churn prediction analysis. The following information can be extracted from this heatmap.</w:t>
      </w:r>
    </w:p>
    <w:p w14:paraId="3819CEE2">
      <w:pPr>
        <w:spacing w:after="0" w:line="360" w:lineRule="auto"/>
        <w:jc w:val="both"/>
        <w:rPr>
          <w:rFonts w:ascii="Times New Roman" w:hAnsi="Times New Roman" w:cs="Times New Roman"/>
          <w:sz w:val="24"/>
          <w:szCs w:val="24"/>
        </w:rPr>
      </w:pPr>
    </w:p>
    <w:p w14:paraId="51227B5C">
      <w:pPr>
        <w:pStyle w:val="258"/>
        <w:numPr>
          <w:ilvl w:val="1"/>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Age has very little correlation with any other features, indicating that it does not significantly influence monthly spending, contract length, or usage behavior.</w:t>
      </w:r>
    </w:p>
    <w:p w14:paraId="32E3484C">
      <w:pPr>
        <w:pStyle w:val="258"/>
        <w:numPr>
          <w:ilvl w:val="1"/>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Monthly Spending (NGN) is not strongly correlated with any of the other numerical features. This suggests that spending does not directly depend on contract length, call usage, or data usage, which might indicate different customer spending behaviors.</w:t>
      </w:r>
    </w:p>
    <w:p w14:paraId="54595736">
      <w:pPr>
        <w:pStyle w:val="258"/>
        <w:numPr>
          <w:ilvl w:val="1"/>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Contract Length (Months) has a near-zero correlation with other features, meaning that customers' contract durations do not strongly relate to their spending or usage.</w:t>
      </w:r>
    </w:p>
    <w:p w14:paraId="02739706">
      <w:pPr>
        <w:pStyle w:val="258"/>
        <w:numPr>
          <w:ilvl w:val="1"/>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Monthly Call Usage (Minutes) and Monthly Data Usage (GB) also show minimal correlation with other features. This means that customers' call and data usage patterns are independent of their age, contract length, and spending.</w:t>
      </w:r>
    </w:p>
    <w:p w14:paraId="277583F1">
      <w:pPr>
        <w:spacing w:after="0" w:line="360" w:lineRule="auto"/>
        <w:jc w:val="both"/>
        <w:rPr>
          <w:rFonts w:ascii="Times New Roman" w:hAnsi="Times New Roman" w:cs="Times New Roman"/>
          <w:sz w:val="24"/>
          <w:szCs w:val="24"/>
        </w:rPr>
      </w:pPr>
    </w:p>
    <w:p w14:paraId="6253885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Implications for Churn Prediction</w:t>
      </w:r>
    </w:p>
    <w:p w14:paraId="39A1A5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Since no strong correlations exist among these features, it suggests that churn may be influenced by other factors, such as customer service interactions, promotions, or external factors like competitor offerings.</w:t>
      </w:r>
    </w:p>
    <w:p w14:paraId="095624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engineering was used to derive more meaningful variables that capture patterns related to churn.  Result shows that non-numerical features, like contract type (prepaid vs. postpaid), customer complaints, or satisfaction scores, play a larger role in predicting churn.</w:t>
      </w:r>
    </w:p>
    <w:p w14:paraId="48C4BF90">
      <w:pPr>
        <w:spacing w:after="0" w:line="360" w:lineRule="auto"/>
        <w:rPr>
          <w:rFonts w:ascii="Times New Roman" w:hAnsi="Times New Roman" w:cs="Times New Roman"/>
          <w:sz w:val="24"/>
          <w:szCs w:val="24"/>
        </w:rPr>
      </w:pPr>
    </w:p>
    <w:p w14:paraId="3EF5D3B3">
      <w:pPr>
        <w:spacing w:after="0" w:line="360" w:lineRule="auto"/>
        <w:jc w:val="both"/>
        <w:rPr>
          <w:rFonts w:ascii="Times New Roman" w:hAnsi="Times New Roman" w:cs="Times New Roman"/>
          <w:sz w:val="24"/>
          <w:szCs w:val="24"/>
        </w:rPr>
      </w:pPr>
      <w:r>
        <w:drawing>
          <wp:inline distT="0" distB="0" distL="0" distR="0">
            <wp:extent cx="5342255" cy="4344670"/>
            <wp:effectExtent l="0" t="0" r="10795" b="17780"/>
            <wp:docPr id="145678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702"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42255" cy="4345170"/>
                    </a:xfrm>
                    <a:prstGeom prst="rect">
                      <a:avLst/>
                    </a:prstGeom>
                    <a:noFill/>
                    <a:ln>
                      <a:noFill/>
                    </a:ln>
                  </pic:spPr>
                </pic:pic>
              </a:graphicData>
            </a:graphic>
          </wp:inline>
        </w:drawing>
      </w:r>
    </w:p>
    <w:p w14:paraId="77C75271">
      <w:pPr>
        <w:pStyle w:val="5"/>
        <w:bidi w:val="0"/>
        <w:spacing w:line="360" w:lineRule="auto"/>
        <w:jc w:val="center"/>
      </w:pPr>
      <w:r>
        <w:t>Figure 4.</w:t>
      </w:r>
      <w:r>
        <w:rPr>
          <w:rFonts w:hint="default"/>
          <w:lang w:val="en-US"/>
        </w:rPr>
        <w:t>2.</w:t>
      </w:r>
      <w:r>
        <w:t>13 Correlation Heatmap</w:t>
      </w:r>
    </w:p>
    <w:p w14:paraId="34B29FC7">
      <w:pPr>
        <w:spacing w:after="0" w:line="360" w:lineRule="auto"/>
        <w:rPr>
          <w:rFonts w:ascii="Times New Roman" w:hAnsi="Times New Roman" w:cs="Times New Roman"/>
          <w:sz w:val="24"/>
          <w:szCs w:val="24"/>
        </w:rPr>
      </w:pPr>
    </w:p>
    <w:p w14:paraId="43A870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Figure 4.</w:t>
      </w:r>
      <w:r>
        <w:rPr>
          <w:rFonts w:hint="default" w:ascii="Times New Roman" w:hAnsi="Times New Roman" w:cs="Times New Roman"/>
          <w:sz w:val="24"/>
          <w:szCs w:val="24"/>
          <w:lang w:val="en-US"/>
        </w:rPr>
        <w:t>2.</w:t>
      </w:r>
      <w:r>
        <w:rPr>
          <w:rFonts w:ascii="Times New Roman" w:hAnsi="Times New Roman" w:cs="Times New Roman"/>
          <w:sz w:val="24"/>
          <w:szCs w:val="24"/>
        </w:rPr>
        <w:t>14 indicates the churn distribution of the customers while Figure 4.</w:t>
      </w:r>
      <w:r>
        <w:rPr>
          <w:rFonts w:hint="default" w:ascii="Times New Roman" w:hAnsi="Times New Roman" w:cs="Times New Roman"/>
          <w:sz w:val="24"/>
          <w:szCs w:val="24"/>
          <w:lang w:val="en-US"/>
        </w:rPr>
        <w:t>2.</w:t>
      </w:r>
      <w:r>
        <w:rPr>
          <w:rFonts w:ascii="Times New Roman" w:hAnsi="Times New Roman" w:cs="Times New Roman"/>
          <w:sz w:val="24"/>
          <w:szCs w:val="24"/>
        </w:rPr>
        <w:t>15 shows that churn rate by subscription type. Results indicate that more prepaid customers have the tendency to churn compared to postpaid customers.</w:t>
      </w:r>
    </w:p>
    <w:p w14:paraId="47E486D2">
      <w:pPr>
        <w:spacing w:after="0" w:line="360" w:lineRule="auto"/>
        <w:jc w:val="center"/>
        <w:rPr>
          <w:rFonts w:ascii="Times New Roman" w:hAnsi="Times New Roman" w:cs="Times New Roman"/>
          <w:sz w:val="24"/>
          <w:szCs w:val="24"/>
        </w:rPr>
      </w:pPr>
      <w:r>
        <w:drawing>
          <wp:inline distT="0" distB="0" distL="0" distR="0">
            <wp:extent cx="3968750" cy="2838450"/>
            <wp:effectExtent l="0" t="0" r="12700" b="0"/>
            <wp:docPr id="506357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57516"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72542" cy="2840832"/>
                    </a:xfrm>
                    <a:prstGeom prst="rect">
                      <a:avLst/>
                    </a:prstGeom>
                    <a:noFill/>
                    <a:ln>
                      <a:noFill/>
                    </a:ln>
                  </pic:spPr>
                </pic:pic>
              </a:graphicData>
            </a:graphic>
          </wp:inline>
        </w:drawing>
      </w:r>
    </w:p>
    <w:p w14:paraId="2514FA83">
      <w:pPr>
        <w:pStyle w:val="5"/>
        <w:bidi w:val="0"/>
        <w:spacing w:line="360" w:lineRule="auto"/>
        <w:jc w:val="center"/>
      </w:pPr>
      <w:r>
        <w:t>Figure 4.</w:t>
      </w:r>
      <w:r>
        <w:rPr>
          <w:rFonts w:hint="default"/>
          <w:lang w:val="en-US"/>
        </w:rPr>
        <w:t>2.</w:t>
      </w:r>
      <w:r>
        <w:t>14 Churn Distribution of the Customers</w:t>
      </w:r>
    </w:p>
    <w:p w14:paraId="30DB2D5C">
      <w:pPr>
        <w:spacing w:after="0" w:line="360" w:lineRule="auto"/>
        <w:rPr>
          <w:rFonts w:ascii="Times New Roman" w:hAnsi="Times New Roman" w:cs="Times New Roman"/>
          <w:sz w:val="24"/>
          <w:szCs w:val="24"/>
        </w:rPr>
      </w:pPr>
    </w:p>
    <w:p w14:paraId="6367FDFB">
      <w:pPr>
        <w:spacing w:after="0" w:line="360" w:lineRule="auto"/>
        <w:jc w:val="center"/>
        <w:rPr>
          <w:rFonts w:ascii="Times New Roman" w:hAnsi="Times New Roman" w:cs="Times New Roman"/>
          <w:sz w:val="24"/>
          <w:szCs w:val="24"/>
        </w:rPr>
      </w:pPr>
      <w:r>
        <w:drawing>
          <wp:inline distT="0" distB="0" distL="0" distR="0">
            <wp:extent cx="4122420" cy="2752725"/>
            <wp:effectExtent l="0" t="0" r="11430" b="9525"/>
            <wp:docPr id="747118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81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28198" cy="2756543"/>
                    </a:xfrm>
                    <a:prstGeom prst="rect">
                      <a:avLst/>
                    </a:prstGeom>
                    <a:noFill/>
                    <a:ln>
                      <a:noFill/>
                    </a:ln>
                  </pic:spPr>
                </pic:pic>
              </a:graphicData>
            </a:graphic>
          </wp:inline>
        </w:drawing>
      </w:r>
    </w:p>
    <w:p w14:paraId="2787850A">
      <w:pPr>
        <w:pStyle w:val="5"/>
        <w:bidi w:val="0"/>
        <w:spacing w:line="360" w:lineRule="auto"/>
        <w:jc w:val="center"/>
      </w:pPr>
      <w:bookmarkStart w:id="5" w:name="_Toc183163362"/>
      <w:r>
        <w:t>Figure 4.</w:t>
      </w:r>
      <w:r>
        <w:rPr>
          <w:rFonts w:hint="default"/>
          <w:lang w:val="en-US"/>
        </w:rPr>
        <w:t>2.</w:t>
      </w:r>
      <w:r>
        <w:t xml:space="preserve">15 Churn </w:t>
      </w:r>
      <w:r>
        <w:rPr>
          <w:rFonts w:hint="default"/>
          <w:lang w:val="en-US"/>
        </w:rPr>
        <w:t>R</w:t>
      </w:r>
      <w:r>
        <w:t>ate of the Customers based on Subscription Type</w:t>
      </w:r>
    </w:p>
    <w:p w14:paraId="5F5DB592">
      <w:pPr>
        <w:spacing w:line="360" w:lineRule="auto"/>
      </w:pPr>
    </w:p>
    <w:p w14:paraId="3B9BB5E1">
      <w:pPr>
        <w:pStyle w:val="3"/>
        <w:spacing w:line="360" w:lineRule="auto"/>
        <w:rPr>
          <w:b/>
          <w:bCs/>
        </w:rPr>
      </w:pPr>
      <w:r>
        <w:rPr>
          <w:b/>
          <w:bCs/>
        </w:rPr>
        <w:t>4.3</w:t>
      </w:r>
      <w:r>
        <w:rPr>
          <w:rFonts w:hint="default"/>
          <w:b/>
          <w:bCs/>
          <w:lang w:val="en-US"/>
        </w:rPr>
        <w:tab/>
      </w:r>
      <w:r>
        <w:rPr>
          <w:b/>
          <w:bCs/>
        </w:rPr>
        <w:t>Machine Learning Model Performance on Churn Prediction</w:t>
      </w:r>
      <w:bookmarkEnd w:id="5"/>
      <w:r>
        <w:rPr>
          <w:b/>
          <w:bCs/>
        </w:rPr>
        <w:t xml:space="preserve"> </w:t>
      </w:r>
    </w:p>
    <w:p w14:paraId="5F9D5E57">
      <w:pPr>
        <w:spacing w:line="360" w:lineRule="auto"/>
        <w:jc w:val="both"/>
        <w:rPr>
          <w:rFonts w:hint="default" w:ascii="Times New Roman" w:hAnsi="Times New Roman" w:cs="Times New Roman"/>
          <w:color w:val="000000"/>
          <w:sz w:val="24"/>
          <w:szCs w:val="24"/>
          <w:lang w:val="en-US"/>
          <w14:textFill>
            <w14:solidFill>
              <w14:srgbClr w14:val="000000">
                <w14:alpha w14:val="4000"/>
              </w14:srgbClr>
            </w14:solidFill>
          </w14:textFill>
        </w:rPr>
      </w:pPr>
      <w:r>
        <w:rPr>
          <w:rFonts w:ascii="Times New Roman" w:hAnsi="Times New Roman" w:cs="Times New Roman"/>
          <w:color w:val="000000"/>
          <w:sz w:val="24"/>
          <w:szCs w:val="24"/>
          <w14:textFill>
            <w14:solidFill>
              <w14:srgbClr w14:val="000000">
                <w14:alpha w14:val="4000"/>
              </w14:srgbClr>
            </w14:solidFill>
          </w14:textFill>
        </w:rPr>
        <w:t>The Confusion matrices for each ML model is depicted in Figures 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1</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4</w:t>
      </w:r>
      <w:r>
        <w:rPr>
          <w:rFonts w:ascii="Times New Roman" w:hAnsi="Times New Roman" w:cs="Times New Roman"/>
          <w:color w:val="000000"/>
          <w:sz w:val="24"/>
          <w:szCs w:val="24"/>
          <w14:textFill>
            <w14:solidFill>
              <w14:srgbClr w14:val="000000">
                <w14:alpha w14:val="4000"/>
              </w14:srgbClr>
            </w14:solidFill>
          </w14:textFill>
        </w:rPr>
        <w:t xml:space="preserve"> for the TP, TN, FP, and FN values with a total of 1,383 data points.  The tabular results for diverse metrics including accuracy, recall, precision, and F1-score is presented in Tables 4.</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3.1 </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4</w:t>
      </w:r>
    </w:p>
    <w:p w14:paraId="333915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Results indicate that DT achieved the following performance in predicting customer churn: accuracy (0.54), precision (0.55), recall (0.54) and F1-score (0.55). On the other hand, RF model achieved the following performance: accuracy (0.64), precision (0.55), recall (0.64) and F1-score (0.54). Similarly, XGBoost model achieved the following performance: accuracy (0.61), precision (0.57), recall (0.61) and f1-score (0.58) while SVM achieved the following performance: accuracy (0.65), precision (0.43), recall (0.65) and F1-score (0.52).</w:t>
      </w:r>
    </w:p>
    <w:p w14:paraId="2FEC97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dataset used, results indicate that SVM outperformed the ML models with highest accuracy of 65%, followed by RF (64%), XGBoost (61%) while DT had the least accuracy value of (54%). On the other hand, DT and Rf had equal precision performance (55%), XGBoost had the highest precision (57%) while SVM had the least precision (43%). In terms of recall, SVM achieved the highest performance (65%), followed by RF (64%), XGBoost (61%) while Dt had the least recall value (54%).</w:t>
      </w:r>
    </w:p>
    <w:p w14:paraId="228CA854">
      <w:pPr>
        <w:spacing w:after="0" w:line="360" w:lineRule="auto"/>
        <w:jc w:val="both"/>
        <w:rPr>
          <w:rFonts w:ascii="Courier New" w:hAnsi="Courier New" w:eastAsia="Times New Roman" w:cs="Courier New"/>
          <w:color w:val="1F1F1F"/>
          <w:sz w:val="20"/>
          <w:szCs w:val="20"/>
        </w:rPr>
      </w:pPr>
      <w:r>
        <w:rPr>
          <w:rFonts w:ascii="Times New Roman" w:hAnsi="Times New Roman" w:cs="Times New Roman"/>
          <w:sz w:val="24"/>
          <w:szCs w:val="24"/>
        </w:rPr>
        <w:t xml:space="preserve">It can be deduced from the comparative performance plot of the ML models in </w:t>
      </w:r>
      <w:r>
        <w:rPr>
          <w:rFonts w:hint="default" w:ascii="Times New Roman" w:hAnsi="Times New Roman" w:cs="Times New Roman"/>
          <w:sz w:val="24"/>
          <w:szCs w:val="24"/>
          <w:lang w:val="en-US"/>
        </w:rPr>
        <w:t>F</w:t>
      </w:r>
      <w:r>
        <w:rPr>
          <w:rFonts w:ascii="Times New Roman" w:hAnsi="Times New Roman" w:cs="Times New Roman"/>
          <w:sz w:val="24"/>
          <w:szCs w:val="24"/>
        </w:rPr>
        <w:t>igure 4.</w:t>
      </w:r>
      <w:r>
        <w:rPr>
          <w:rFonts w:hint="default" w:ascii="Times New Roman" w:hAnsi="Times New Roman" w:cs="Times New Roman"/>
          <w:sz w:val="24"/>
          <w:szCs w:val="24"/>
          <w:lang w:val="en-US"/>
        </w:rPr>
        <w:t>3.5</w:t>
      </w:r>
      <w:r>
        <w:rPr>
          <w:rFonts w:ascii="Times New Roman" w:hAnsi="Times New Roman" w:cs="Times New Roman"/>
          <w:sz w:val="24"/>
          <w:szCs w:val="24"/>
        </w:rPr>
        <w:t xml:space="preserve"> that, based on accuracy and recall, the best model for predicting customer churn behaviour is SVM followed by RF. It therefore indicates that SVM is a powerful classification algorithm with capability to find the optimal hyperplane separating different classes in the feature space. Also, RF as an ensembled method proved its ability to combine multiple decision trees to improve predictive accuracy and reduce overfitting.</w:t>
      </w:r>
    </w:p>
    <w:p w14:paraId="09225A76">
      <w:pPr>
        <w:pBdr>
          <w:top w:val="none" w:color="auto" w:sz="0" w:space="0"/>
          <w:left w:val="none" w:color="auto" w:sz="0" w:space="0"/>
          <w:bottom w:val="none" w:color="auto" w:sz="0" w:space="0"/>
          <w:right w:val="none" w:color="auto" w:sz="0" w:space="0"/>
        </w:pBdr>
        <w:shd w:val="clear" w:color="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5F52056">
      <w:pPr>
        <w:spacing w:after="0" w:line="360" w:lineRule="auto"/>
        <w:jc w:val="center"/>
        <w:rPr>
          <w:rFonts w:ascii="Times New Roman" w:hAnsi="Times New Roman" w:cs="Times New Roman"/>
          <w:sz w:val="24"/>
          <w:szCs w:val="24"/>
        </w:rPr>
      </w:pPr>
      <w:r>
        <w:rPr>
          <w:rFonts w:ascii="Roboto" w:hAnsi="Roboto" w:eastAsia="Times New Roman" w:cs="Times New Roman"/>
          <w:color w:val="1F1F1F"/>
          <w:sz w:val="21"/>
          <w:szCs w:val="21"/>
        </w:rPr>
        <w:drawing>
          <wp:inline distT="0" distB="0" distL="0" distR="0">
            <wp:extent cx="3790950" cy="3475990"/>
            <wp:effectExtent l="0" t="0" r="0" b="10160"/>
            <wp:docPr id="7652103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1036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796086" cy="3480945"/>
                    </a:xfrm>
                    <a:prstGeom prst="rect">
                      <a:avLst/>
                    </a:prstGeom>
                    <a:noFill/>
                    <a:ln>
                      <a:noFill/>
                    </a:ln>
                  </pic:spPr>
                </pic:pic>
              </a:graphicData>
            </a:graphic>
          </wp:inline>
        </w:drawing>
      </w:r>
    </w:p>
    <w:bookmarkEnd w:id="4"/>
    <w:p w14:paraId="27E630F3">
      <w:pPr>
        <w:pStyle w:val="5"/>
        <w:bidi w:val="0"/>
        <w:spacing w:line="360" w:lineRule="auto"/>
        <w:jc w:val="center"/>
      </w:pPr>
      <w:r>
        <w:t>Figure 4.</w:t>
      </w:r>
      <w:r>
        <w:rPr>
          <w:rFonts w:hint="default"/>
          <w:lang w:val="en-US"/>
        </w:rPr>
        <w:t>3.1</w:t>
      </w:r>
      <w:r>
        <w:t xml:space="preserve"> Confusion Matrix for DT</w:t>
      </w:r>
    </w:p>
    <w:p w14:paraId="77EA3513">
      <w:pPr>
        <w:spacing w:line="360" w:lineRule="auto"/>
      </w:pPr>
    </w:p>
    <w:p w14:paraId="601581C3">
      <w:pPr>
        <w:pStyle w:val="5"/>
        <w:bidi w:val="0"/>
        <w:spacing w:line="360" w:lineRule="auto"/>
        <w:jc w:val="center"/>
        <w:rPr>
          <w:rFonts w:ascii="Times New Roman" w:hAnsi="Times New Roman" w:cs="Times New Roman"/>
          <w:sz w:val="24"/>
          <w:szCs w:val="24"/>
        </w:rPr>
      </w:pPr>
      <w:r>
        <w:t>Table 4.</w:t>
      </w:r>
      <w:r>
        <w:rPr>
          <w:rFonts w:hint="default"/>
          <w:lang w:val="en-US"/>
        </w:rPr>
        <w:t>3.1</w:t>
      </w:r>
      <w:r>
        <w:t xml:space="preserve"> Performance Evaluation Report </w:t>
      </w:r>
      <w:r>
        <w:rPr>
          <w:rFonts w:hint="default"/>
          <w:lang w:val="en-US"/>
        </w:rPr>
        <w:t>for</w:t>
      </w:r>
      <w:r>
        <w:t xml:space="preserve"> DT Model</w:t>
      </w:r>
    </w:p>
    <w:p w14:paraId="391F3AC3">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47EA3B81">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7FF99D8D">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0       0.66      0.64      0.65       903</w:t>
      </w:r>
    </w:p>
    <w:p w14:paraId="261E1453">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1       0.35      0.37      0.36       480</w:t>
      </w:r>
    </w:p>
    <w:p w14:paraId="6AFE6F6B">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3E054FB6">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0.54      1383</w:t>
      </w:r>
    </w:p>
    <w:p w14:paraId="6CCFCC0F">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0.50      0.50      0.50      1383</w:t>
      </w:r>
    </w:p>
    <w:p w14:paraId="7AD45E92">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0.55      0.54      0.55      1383</w:t>
      </w:r>
    </w:p>
    <w:p w14:paraId="403D0272">
      <w:pPr>
        <w:spacing w:after="0" w:line="360" w:lineRule="auto"/>
        <w:jc w:val="both"/>
        <w:rPr>
          <w:rFonts w:ascii="Times New Roman" w:hAnsi="Times New Roman" w:cs="Times New Roman"/>
          <w:b/>
          <w:bCs/>
          <w:sz w:val="24"/>
          <w:szCs w:val="24"/>
        </w:rPr>
      </w:pPr>
    </w:p>
    <w:p w14:paraId="7F93AF8B">
      <w:pPr>
        <w:spacing w:after="0" w:line="360" w:lineRule="auto"/>
        <w:jc w:val="both"/>
        <w:rPr>
          <w:rFonts w:ascii="Times New Roman" w:hAnsi="Times New Roman" w:cs="Times New Roman"/>
          <w:b/>
          <w:bCs/>
          <w:sz w:val="24"/>
          <w:szCs w:val="24"/>
        </w:rPr>
      </w:pPr>
    </w:p>
    <w:p w14:paraId="5FC2696C">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048125" cy="3711575"/>
            <wp:effectExtent l="0" t="0" r="9525" b="3175"/>
            <wp:docPr id="20394771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7115"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054676" cy="3718067"/>
                    </a:xfrm>
                    <a:prstGeom prst="rect">
                      <a:avLst/>
                    </a:prstGeom>
                    <a:noFill/>
                    <a:ln>
                      <a:noFill/>
                    </a:ln>
                  </pic:spPr>
                </pic:pic>
              </a:graphicData>
            </a:graphic>
          </wp:inline>
        </w:drawing>
      </w:r>
    </w:p>
    <w:p w14:paraId="40532CE0">
      <w:pPr>
        <w:pStyle w:val="5"/>
        <w:bidi w:val="0"/>
        <w:spacing w:line="360" w:lineRule="auto"/>
        <w:jc w:val="center"/>
      </w:pPr>
      <w:r>
        <w:t>Figure 4.</w:t>
      </w:r>
      <w:r>
        <w:rPr>
          <w:rFonts w:hint="default"/>
          <w:lang w:val="en-US"/>
        </w:rPr>
        <w:t>3.2</w:t>
      </w:r>
      <w:r>
        <w:t xml:space="preserve"> Confusion Matrix for RF</w:t>
      </w:r>
    </w:p>
    <w:p w14:paraId="7C0B53AC">
      <w:pPr>
        <w:spacing w:line="360" w:lineRule="auto"/>
        <w:rPr>
          <w:rFonts w:hint="default"/>
          <w:lang w:val="en-US"/>
        </w:rPr>
      </w:pPr>
    </w:p>
    <w:p w14:paraId="51ED62A5">
      <w:pPr>
        <w:pStyle w:val="5"/>
        <w:bidi w:val="0"/>
        <w:spacing w:line="360" w:lineRule="auto"/>
        <w:jc w:val="center"/>
      </w:pPr>
      <w:r>
        <w:t>Table 4.</w:t>
      </w:r>
      <w:r>
        <w:rPr>
          <w:rFonts w:hint="default"/>
          <w:lang w:val="en-US"/>
        </w:rPr>
        <w:t>3.2</w:t>
      </w:r>
      <w:r>
        <w:t xml:space="preserve"> Performance Evaluation Report </w:t>
      </w:r>
      <w:r>
        <w:rPr>
          <w:rFonts w:hint="default"/>
          <w:lang w:val="en-US"/>
        </w:rPr>
        <w:t>for</w:t>
      </w:r>
      <w:r>
        <w:t xml:space="preserve"> RF Model</w:t>
      </w:r>
    </w:p>
    <w:p w14:paraId="1AEE228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3CAFF6BA">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45991B4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0       0.65      0.95      0.78       903</w:t>
      </w:r>
    </w:p>
    <w:p w14:paraId="1DB9621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1       0.36      0.05      0.09       480</w:t>
      </w:r>
    </w:p>
    <w:p w14:paraId="6BF4F5A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2F800332">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0.64      1383</w:t>
      </w:r>
    </w:p>
    <w:p w14:paraId="5D07699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0.51      0.50      0.43      1383</w:t>
      </w:r>
    </w:p>
    <w:p w14:paraId="006B545A">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0.55      0.64      0.54      1383</w:t>
      </w:r>
    </w:p>
    <w:p w14:paraId="308FA988">
      <w:pPr>
        <w:spacing w:after="0" w:line="360" w:lineRule="auto"/>
        <w:jc w:val="both"/>
        <w:rPr>
          <w:rFonts w:ascii="Times New Roman" w:hAnsi="Times New Roman" w:cs="Times New Roman"/>
          <w:b/>
          <w:bCs/>
          <w:sz w:val="24"/>
          <w:szCs w:val="24"/>
        </w:rPr>
      </w:pPr>
    </w:p>
    <w:p w14:paraId="1267A006">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143375" cy="3799205"/>
            <wp:effectExtent l="0" t="0" r="9525" b="10795"/>
            <wp:docPr id="12355296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9673"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148431" cy="3804038"/>
                    </a:xfrm>
                    <a:prstGeom prst="rect">
                      <a:avLst/>
                    </a:prstGeom>
                    <a:noFill/>
                    <a:ln>
                      <a:noFill/>
                    </a:ln>
                  </pic:spPr>
                </pic:pic>
              </a:graphicData>
            </a:graphic>
          </wp:inline>
        </w:drawing>
      </w:r>
    </w:p>
    <w:p w14:paraId="4B66DFD1">
      <w:pPr>
        <w:pStyle w:val="5"/>
        <w:bidi w:val="0"/>
        <w:spacing w:line="360" w:lineRule="auto"/>
        <w:jc w:val="center"/>
      </w:pPr>
      <w:r>
        <w:t>Figure 4.</w:t>
      </w:r>
      <w:r>
        <w:rPr>
          <w:rFonts w:hint="default"/>
          <w:lang w:val="en-US"/>
        </w:rPr>
        <w:t>3.3</w:t>
      </w:r>
      <w:r>
        <w:t xml:space="preserve"> Confusion Matrix for XGBoost</w:t>
      </w:r>
    </w:p>
    <w:p w14:paraId="477123F4">
      <w:pPr>
        <w:spacing w:after="0" w:line="360" w:lineRule="auto"/>
        <w:jc w:val="both"/>
        <w:rPr>
          <w:rFonts w:ascii="Times New Roman" w:hAnsi="Times New Roman" w:cs="Times New Roman"/>
          <w:b/>
          <w:bCs/>
          <w:sz w:val="24"/>
          <w:szCs w:val="24"/>
        </w:rPr>
      </w:pPr>
    </w:p>
    <w:p w14:paraId="44A52270">
      <w:pPr>
        <w:pStyle w:val="5"/>
        <w:bidi w:val="0"/>
        <w:spacing w:line="360" w:lineRule="auto"/>
        <w:jc w:val="center"/>
      </w:pPr>
      <w:r>
        <w:t>Table 4.</w:t>
      </w:r>
      <w:r>
        <w:rPr>
          <w:rFonts w:hint="default"/>
          <w:lang w:val="en-US"/>
        </w:rPr>
        <w:t>3.3</w:t>
      </w:r>
      <w:r>
        <w:t xml:space="preserve"> Performance Evaluation Report for XGBoost Model</w:t>
      </w:r>
    </w:p>
    <w:p w14:paraId="0E270C3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0B0B5DB0">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4E15F10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0       0.66      0.80      0.73       903</w:t>
      </w:r>
    </w:p>
    <w:p w14:paraId="3ACC1C9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1       0.39      0.24      0.30       480</w:t>
      </w:r>
    </w:p>
    <w:p w14:paraId="43729E0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1F25816F">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0.61      1383</w:t>
      </w:r>
    </w:p>
    <w:p w14:paraId="7CE341B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0.53      0.52      0.51      1383</w:t>
      </w:r>
    </w:p>
    <w:p w14:paraId="355CBA69">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0.57      0.61      0.58      1383</w:t>
      </w:r>
    </w:p>
    <w:p w14:paraId="41681926">
      <w:pPr>
        <w:spacing w:after="0" w:line="360" w:lineRule="auto"/>
        <w:jc w:val="both"/>
        <w:rPr>
          <w:rFonts w:ascii="Times New Roman" w:hAnsi="Times New Roman" w:cs="Times New Roman"/>
          <w:b/>
          <w:bCs/>
          <w:sz w:val="24"/>
          <w:szCs w:val="24"/>
        </w:rPr>
      </w:pPr>
    </w:p>
    <w:p w14:paraId="519999D3">
      <w:pPr>
        <w:spacing w:after="0" w:line="360" w:lineRule="auto"/>
        <w:jc w:val="both"/>
        <w:rPr>
          <w:rFonts w:ascii="Times New Roman" w:hAnsi="Times New Roman" w:cs="Times New Roman"/>
          <w:b/>
          <w:bCs/>
          <w:sz w:val="24"/>
          <w:szCs w:val="24"/>
        </w:rPr>
      </w:pPr>
    </w:p>
    <w:p w14:paraId="0CAF1763">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067175" cy="3729355"/>
            <wp:effectExtent l="0" t="0" r="9525" b="4445"/>
            <wp:docPr id="5339442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4266"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75287" cy="3736967"/>
                    </a:xfrm>
                    <a:prstGeom prst="rect">
                      <a:avLst/>
                    </a:prstGeom>
                    <a:noFill/>
                    <a:ln>
                      <a:noFill/>
                    </a:ln>
                  </pic:spPr>
                </pic:pic>
              </a:graphicData>
            </a:graphic>
          </wp:inline>
        </w:drawing>
      </w:r>
    </w:p>
    <w:p w14:paraId="3420DB60">
      <w:pPr>
        <w:pStyle w:val="5"/>
        <w:bidi w:val="0"/>
        <w:spacing w:line="360" w:lineRule="auto"/>
        <w:jc w:val="center"/>
      </w:pPr>
      <w:r>
        <w:t>Figure 4.</w:t>
      </w:r>
      <w:r>
        <w:rPr>
          <w:rFonts w:hint="default"/>
          <w:lang w:val="en-US"/>
        </w:rPr>
        <w:t>3.4</w:t>
      </w:r>
      <w:r>
        <w:t xml:space="preserve"> Confusion Matrix for SVM</w:t>
      </w:r>
    </w:p>
    <w:p w14:paraId="6B8CC45E">
      <w:pPr>
        <w:spacing w:after="0" w:line="360" w:lineRule="auto"/>
        <w:jc w:val="both"/>
        <w:rPr>
          <w:rFonts w:ascii="Times New Roman" w:hAnsi="Times New Roman" w:cs="Times New Roman"/>
          <w:b/>
          <w:bCs/>
          <w:sz w:val="24"/>
          <w:szCs w:val="24"/>
        </w:rPr>
      </w:pPr>
    </w:p>
    <w:p w14:paraId="125649D4">
      <w:pPr>
        <w:pStyle w:val="5"/>
        <w:bidi w:val="0"/>
        <w:spacing w:line="360" w:lineRule="auto"/>
        <w:jc w:val="center"/>
      </w:pPr>
      <w:r>
        <w:t>Table 4.</w:t>
      </w:r>
      <w:r>
        <w:rPr>
          <w:rFonts w:hint="default"/>
          <w:lang w:val="en-US"/>
        </w:rPr>
        <w:t>3.4</w:t>
      </w:r>
      <w:r>
        <w:t xml:space="preserve"> Performance Evaluation Report for SVM Model</w:t>
      </w:r>
    </w:p>
    <w:p w14:paraId="135B1147">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precision    recall  f1-score   support</w:t>
      </w:r>
    </w:p>
    <w:p w14:paraId="27B27A4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50ACDF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0       0.65      1.00      0.79       903</w:t>
      </w:r>
    </w:p>
    <w:p w14:paraId="0A8B549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1       0.00      0.00      0.00       480</w:t>
      </w:r>
    </w:p>
    <w:p w14:paraId="1E390DF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DDA29F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0.65      1383</w:t>
      </w:r>
    </w:p>
    <w:p w14:paraId="0588525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0.33      0.50      0.40      1383</w:t>
      </w:r>
    </w:p>
    <w:p w14:paraId="59CB2E7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0.43      0.65      0.52      1383</w:t>
      </w:r>
    </w:p>
    <w:p w14:paraId="62C17B4B">
      <w:pPr>
        <w:spacing w:after="0" w:line="360" w:lineRule="auto"/>
        <w:jc w:val="both"/>
        <w:rPr>
          <w:rFonts w:ascii="Times New Roman" w:hAnsi="Times New Roman" w:cs="Times New Roman"/>
          <w:b/>
          <w:bCs/>
          <w:sz w:val="24"/>
          <w:szCs w:val="24"/>
        </w:rPr>
      </w:pPr>
    </w:p>
    <w:p w14:paraId="33A3C8B5">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5293360" cy="4180840"/>
            <wp:effectExtent l="0" t="0" r="2540" b="10160"/>
            <wp:docPr id="1052662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2798"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93360" cy="4181063"/>
                    </a:xfrm>
                    <a:prstGeom prst="rect">
                      <a:avLst/>
                    </a:prstGeom>
                    <a:noFill/>
                    <a:ln>
                      <a:noFill/>
                    </a:ln>
                  </pic:spPr>
                </pic:pic>
              </a:graphicData>
            </a:graphic>
          </wp:inline>
        </w:drawing>
      </w:r>
    </w:p>
    <w:p w14:paraId="2D57A724">
      <w:pPr>
        <w:pStyle w:val="5"/>
        <w:bidi w:val="0"/>
        <w:spacing w:line="360" w:lineRule="auto"/>
        <w:jc w:val="center"/>
      </w:pPr>
      <w:r>
        <w:t>Figure 4.</w:t>
      </w:r>
      <w:r>
        <w:rPr>
          <w:rFonts w:hint="default"/>
          <w:lang w:val="en-US"/>
        </w:rPr>
        <w:t>3.5</w:t>
      </w:r>
      <w:r>
        <w:t xml:space="preserve"> Comparative Performance of the ML Models</w:t>
      </w:r>
    </w:p>
    <w:p w14:paraId="2684332F">
      <w:pPr>
        <w:spacing w:line="360" w:lineRule="auto"/>
      </w:pPr>
    </w:p>
    <w:p w14:paraId="2A99FC39">
      <w:pPr>
        <w:spacing w:line="360" w:lineRule="auto"/>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FiraCode Nerd Font">
    <w:panose1 w:val="02000009000000000000"/>
    <w:charset w:val="00"/>
    <w:family w:val="auto"/>
    <w:pitch w:val="default"/>
    <w:sig w:usb0="E00002EF" w:usb1="1201F9FB" w:usb2="02002038" w:usb3="00000000" w:csb0="6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44734F7"/>
    <w:multiLevelType w:val="multilevel"/>
    <w:tmpl w:val="044734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2C24018"/>
    <w:multiLevelType w:val="multilevel"/>
    <w:tmpl w:val="12C24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4650F4E"/>
    <w:multiLevelType w:val="multilevel"/>
    <w:tmpl w:val="14650F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5360B3"/>
    <w:multiLevelType w:val="multilevel"/>
    <w:tmpl w:val="1F536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FC54236"/>
    <w:multiLevelType w:val="multilevel"/>
    <w:tmpl w:val="2FC542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1F2718B"/>
    <w:multiLevelType w:val="multilevel"/>
    <w:tmpl w:val="51F271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A7F0959"/>
    <w:multiLevelType w:val="multilevel"/>
    <w:tmpl w:val="5A7F0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AB92F95"/>
    <w:multiLevelType w:val="multilevel"/>
    <w:tmpl w:val="5AB92F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92B2D23"/>
    <w:multiLevelType w:val="multilevel"/>
    <w:tmpl w:val="792B2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8"/>
  </w:num>
  <w:num w:numId="13">
    <w:abstractNumId w:val="17"/>
  </w:num>
  <w:num w:numId="14">
    <w:abstractNumId w:val="16"/>
  </w:num>
  <w:num w:numId="15">
    <w:abstractNumId w:val="14"/>
  </w:num>
  <w:num w:numId="16">
    <w:abstractNumId w:val="11"/>
  </w:num>
  <w:num w:numId="17">
    <w:abstractNumId w:val="12"/>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D7F4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3F2D4F"/>
    <w:rsid w:val="166D7F44"/>
    <w:rsid w:val="18D86A52"/>
    <w:rsid w:val="23957A8C"/>
    <w:rsid w:val="339B55AD"/>
    <w:rsid w:val="342E2B27"/>
    <w:rsid w:val="42264D31"/>
    <w:rsid w:val="55357F85"/>
    <w:rsid w:val="590D65AA"/>
    <w:rsid w:val="5C307C10"/>
    <w:rsid w:val="5E873A82"/>
    <w:rsid w:val="693E2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2026-03-16T09:47:00Z</dcterms:created>
  <dc:creator>Caleb Azunobi</dc:creator>
  <cp:lastModifiedBy>Caleb Azunobi</cp:lastModifiedBy>
  <dcterms:modified xsi:type="dcterms:W3CDTF">2026-03-16T09:58:41Z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EE1152BB024C4A3C85823E4AA98D9678_11</vt:lpwstr>
  </property>
</Properties>
</file>