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D074A5"/>
    <w:p w14:paraId="59375044">
      <w:pPr>
        <w:pStyle w:val="2"/>
        <w:spacing w:line="360" w:lineRule="auto"/>
        <w:jc w:val="center"/>
        <w:rPr>
          <w:rFonts w:hint="default" w:cs="Times New Roman"/>
          <w:b/>
          <w:bCs/>
          <w:szCs w:val="24"/>
          <w:lang w:val="en-US"/>
        </w:rPr>
      </w:pPr>
      <w:bookmarkStart w:id="0" w:name="_Toc183163313"/>
      <w:r>
        <w:rPr>
          <w:rFonts w:cs="Times New Roman"/>
          <w:b/>
          <w:bCs/>
          <w:szCs w:val="24"/>
        </w:rPr>
        <w:t xml:space="preserve">CHAPTER </w:t>
      </w:r>
      <w:bookmarkEnd w:id="0"/>
      <w:r>
        <w:rPr>
          <w:rFonts w:hint="default" w:cs="Times New Roman"/>
          <w:b/>
          <w:bCs/>
          <w:szCs w:val="24"/>
          <w:lang w:val="en-US"/>
        </w:rPr>
        <w:t>FIVE</w:t>
      </w:r>
    </w:p>
    <w:p w14:paraId="3A0F1E4A">
      <w:pPr>
        <w:pStyle w:val="2"/>
        <w:spacing w:line="360" w:lineRule="auto"/>
        <w:jc w:val="center"/>
        <w:rPr>
          <w:rFonts w:hint="default" w:cs="Times New Roman"/>
          <w:b/>
          <w:bCs/>
          <w:szCs w:val="24"/>
          <w:lang w:val="en-US"/>
        </w:rPr>
      </w:pPr>
      <w:r>
        <w:rPr>
          <w:rFonts w:hint="default" w:cs="Times New Roman"/>
          <w:b/>
          <w:bCs/>
          <w:szCs w:val="24"/>
          <w:lang w:val="en-US"/>
        </w:rPr>
        <w:t>SUMMARY, CONCLUSION AND RECOMMENDATIONS</w:t>
      </w:r>
    </w:p>
    <w:p w14:paraId="1550DF80">
      <w:pPr>
        <w:pStyle w:val="3"/>
        <w:spacing w:line="360" w:lineRule="auto"/>
        <w:rPr>
          <w:rFonts w:hint="default"/>
          <w:lang w:val="en-US"/>
        </w:rPr>
      </w:pPr>
      <w:bookmarkStart w:id="1" w:name="_Toc183163346"/>
      <w:bookmarkStart w:id="2" w:name="_Toc183163366"/>
      <w:r>
        <w:rPr>
          <w:rFonts w:hint="default"/>
          <w:b/>
          <w:bCs/>
          <w:lang w:val="en-US"/>
        </w:rPr>
        <w:t>5</w:t>
      </w:r>
      <w:r>
        <w:rPr>
          <w:b/>
          <w:bCs/>
        </w:rPr>
        <w:t>.</w:t>
      </w:r>
      <w:r>
        <w:rPr>
          <w:rFonts w:hint="default"/>
          <w:b/>
          <w:bCs/>
          <w:lang w:val="en-US"/>
        </w:rPr>
        <w:t>1</w:t>
      </w:r>
      <w:bookmarkEnd w:id="1"/>
      <w:r>
        <w:rPr>
          <w:rFonts w:hint="default"/>
          <w:b/>
          <w:bCs/>
          <w:lang w:val="en-US"/>
        </w:rPr>
        <w:tab/>
        <w:t>Chapter Overview</w:t>
      </w:r>
    </w:p>
    <w:p w14:paraId="4EB70ABF">
      <w:pPr>
        <w:spacing w:after="0" w:line="360" w:lineRule="auto"/>
        <w:jc w:val="both"/>
        <w:rPr>
          <w:rFonts w:hint="default" w:ascii="Times New Roman" w:hAnsi="Times New Roman" w:cs="Times New Roman"/>
          <w:sz w:val="24"/>
          <w:szCs w:val="24"/>
          <w:lang w:val="en-US"/>
        </w:rPr>
      </w:pPr>
      <w:r>
        <w:rPr>
          <w:rFonts w:ascii="Times New Roman" w:hAnsi="Times New Roman" w:cs="Times New Roman"/>
          <w:sz w:val="24"/>
          <w:szCs w:val="24"/>
        </w:rPr>
        <w:t>Th</w:t>
      </w:r>
      <w:r>
        <w:rPr>
          <w:rFonts w:hint="default" w:ascii="Times New Roman" w:hAnsi="Times New Roman" w:cs="Times New Roman"/>
          <w:sz w:val="24"/>
          <w:szCs w:val="24"/>
          <w:lang w:val="en-US"/>
        </w:rPr>
        <w:t>is chapter presents the summary, conclusions, and recommendations derived from the findings of this study on the application of machine learning models for predicting customer churn in the telecommunications industry. The chapter synthesizes the results obtained from the data analysis and model evaluation carried out in the previous chapters and interprets them in relation to the objectives of the study.</w:t>
      </w:r>
    </w:p>
    <w:p w14:paraId="661CB7BE">
      <w:pPr>
        <w:spacing w:after="0"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summary highlights the major aspects of the research, including the research problem, methodology adopted, data collection process, and the machine learning techniques implemented for churn prediction. Emphasis is placed on the key findings obtained from the analysis of customer demographic characteristics, service usage patterns, and other factors influencing customer churn among subscribers of MTN and Airtel in Nigeria.</w:t>
      </w:r>
    </w:p>
    <w:p w14:paraId="31E2A866">
      <w:pPr>
        <w:spacing w:after="0"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Following the summary, the chapter presents the conclusions drawn from the study based on the results obtained during the analysis. These conclusions provide insights into the effectiveness of predictive modeling techniques in identifying customers who are likely to discontinue the use of telecommunications services. The findings also highlight the importance of understanding customer behavior and satisfaction levels in reducing churn rates within the highly competitive telecommunications sector.</w:t>
      </w:r>
    </w:p>
    <w:p w14:paraId="382EF635">
      <w:pPr>
        <w:spacing w:after="0"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chapter further provides practical recommendations for telecommunications service providers on strategies that can be adopted to improve customer retention and enhance service delivery. These recommendations are based on the patterns and relationships identified in the analysis and are intended to assist industry stakeholders in making data-driven decisions aimed at minimizing customer churn.</w:t>
      </w:r>
    </w:p>
    <w:p w14:paraId="441F496F">
      <w:pPr>
        <w:spacing w:after="0"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Overall, this chapter brings the study to a close by presenting the key lessons learned from the research and emphasizing the role of machine learning and data analytics in improving customer relationship management within the telecommunications industry.</w:t>
      </w:r>
      <w:bookmarkStart w:id="6" w:name="_GoBack"/>
      <w:bookmarkEnd w:id="6"/>
    </w:p>
    <w:p w14:paraId="7B00C739">
      <w:pPr>
        <w:pStyle w:val="3"/>
        <w:spacing w:line="360" w:lineRule="auto"/>
        <w:rPr>
          <w:rFonts w:hint="default"/>
          <w:b/>
          <w:bCs/>
          <w:lang w:val="en-US"/>
        </w:rPr>
      </w:pPr>
      <w:r>
        <w:rPr>
          <w:b/>
          <w:bCs/>
        </w:rPr>
        <w:t>5.</w:t>
      </w:r>
      <w:bookmarkEnd w:id="2"/>
      <w:r>
        <w:rPr>
          <w:rFonts w:hint="default"/>
          <w:b/>
          <w:bCs/>
          <w:lang w:val="en-US"/>
        </w:rPr>
        <w:t>2</w:t>
      </w:r>
      <w:r>
        <w:rPr>
          <w:rFonts w:hint="default"/>
          <w:b/>
          <w:bCs/>
          <w:lang w:val="en-US"/>
        </w:rPr>
        <w:tab/>
        <w:t>Summary</w:t>
      </w:r>
    </w:p>
    <w:p w14:paraId="67E7C52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This chapter provides a summary of the key findings, conclusions, and recommendations drawn from the study on customer churn in the Nigerian telecommunications sector, with a particular focus on MTN and Airtel. The aim was to identify the primary factors contributing to customer churn, evaluate the performance of various machine learning models for churn prediction, and compare the effectiveness of these models. The findings and conclusions presented in this chapter will provide a foundation for developing strategies to reduce churn and enhance customer retention in the telecommunications industry.</w:t>
      </w:r>
    </w:p>
    <w:p w14:paraId="2E95B371">
      <w:pPr>
        <w:spacing w:after="0" w:line="360" w:lineRule="auto"/>
        <w:jc w:val="both"/>
        <w:rPr>
          <w:rFonts w:ascii="Times New Roman" w:hAnsi="Times New Roman" w:cs="Times New Roman"/>
          <w:sz w:val="24"/>
          <w:szCs w:val="24"/>
        </w:rPr>
      </w:pPr>
    </w:p>
    <w:p w14:paraId="3C05BE2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analysis carried out in Chapter Four highlighted several important factors and insights:</w:t>
      </w:r>
    </w:p>
    <w:p w14:paraId="435DAD9F">
      <w:pPr>
        <w:numPr>
          <w:ilvl w:val="0"/>
          <w:numId w:val="11"/>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Key Factors Influencing Customer Churn</w:t>
      </w:r>
      <w:r>
        <w:rPr>
          <w:rFonts w:ascii="Times New Roman" w:hAnsi="Times New Roman" w:cs="Times New Roman"/>
          <w:sz w:val="24"/>
          <w:szCs w:val="24"/>
        </w:rPr>
        <w:t>:</w:t>
      </w:r>
    </w:p>
    <w:p w14:paraId="7BDA8E7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study identified several factors that significantly influence customer churn, including service quality, network coverage, customer service, billing issues, and offers and promotions. Among these, poor service quality and network coverage issues were the most frequently cited reasons for customers switching providers.</w:t>
      </w:r>
    </w:p>
    <w:p w14:paraId="0A98660B">
      <w:pPr>
        <w:pStyle w:val="258"/>
        <w:numPr>
          <w:ilvl w:val="0"/>
          <w:numId w:val="11"/>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Evaluation of Machine Learning Models</w:t>
      </w:r>
      <w:r>
        <w:rPr>
          <w:rFonts w:ascii="Times New Roman" w:hAnsi="Times New Roman" w:cs="Times New Roman"/>
          <w:sz w:val="24"/>
          <w:szCs w:val="24"/>
        </w:rPr>
        <w:t>:</w:t>
      </w:r>
    </w:p>
    <w:p w14:paraId="138F5C6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study evaluated multiple machine learning models—Decision Tree, Random Forest, Support Vector Machine (SVM), and Extreme Gradient Boosting (XGBoost)—to predict customer churn in telecommunications industry. The SVM model outperformed all others in terms of accuracy (0.65) and recall(0.65), making it the most effective tool for predicting churn.</w:t>
      </w:r>
    </w:p>
    <w:p w14:paraId="7DD7F1C4">
      <w:pPr>
        <w:spacing w:after="0" w:line="360" w:lineRule="auto"/>
        <w:jc w:val="both"/>
        <w:rPr>
          <w:rFonts w:ascii="Times New Roman" w:hAnsi="Times New Roman" w:cs="Times New Roman"/>
          <w:sz w:val="24"/>
          <w:szCs w:val="24"/>
        </w:rPr>
      </w:pPr>
    </w:p>
    <w:p w14:paraId="6062E80F">
      <w:pPr>
        <w:numPr>
          <w:ilvl w:val="0"/>
          <w:numId w:val="11"/>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Model Comparison</w:t>
      </w:r>
      <w:r>
        <w:rPr>
          <w:rFonts w:ascii="Times New Roman" w:hAnsi="Times New Roman" w:cs="Times New Roman"/>
          <w:sz w:val="24"/>
          <w:szCs w:val="24"/>
        </w:rPr>
        <w:t>:</w:t>
      </w:r>
    </w:p>
    <w:p w14:paraId="4D6D6B0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 detailed comparison of the models showed that Random Forest also performed well, closely following SVm with accuracy and recall of 64% respectively. XGBoost exhibited moderate performance while DT had the least accuracy and prediction reliability.</w:t>
      </w:r>
    </w:p>
    <w:p w14:paraId="138A941E">
      <w:pPr>
        <w:pStyle w:val="3"/>
        <w:spacing w:line="360" w:lineRule="auto"/>
        <w:rPr>
          <w:rFonts w:hint="default"/>
          <w:b/>
          <w:bCs/>
          <w:lang w:val="en-US"/>
        </w:rPr>
      </w:pPr>
      <w:bookmarkStart w:id="3" w:name="_Toc183163371"/>
      <w:bookmarkStart w:id="4" w:name="_Toc183163368"/>
      <w:r>
        <w:rPr>
          <w:b/>
          <w:bCs/>
        </w:rPr>
        <w:t>5.</w:t>
      </w:r>
      <w:bookmarkEnd w:id="3"/>
      <w:r>
        <w:rPr>
          <w:rFonts w:hint="default"/>
          <w:b/>
          <w:bCs/>
          <w:lang w:val="en-US"/>
        </w:rPr>
        <w:t>3</w:t>
      </w:r>
      <w:r>
        <w:rPr>
          <w:rFonts w:hint="default"/>
          <w:b/>
          <w:bCs/>
          <w:lang w:val="en-US"/>
        </w:rPr>
        <w:tab/>
        <w:t>Proposed Contribution to Knowledge</w:t>
      </w:r>
    </w:p>
    <w:p w14:paraId="24C27281">
      <w:pPr>
        <w:numPr>
          <w:ilvl w:val="0"/>
          <w:numId w:val="1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Churn Factors: The research identifies critical drivers of customer churn in Nigeria's telecom industry, particularly service quality and network coverage.</w:t>
      </w:r>
    </w:p>
    <w:p w14:paraId="0DA3CE3A">
      <w:pPr>
        <w:numPr>
          <w:ilvl w:val="0"/>
          <w:numId w:val="1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Machine Learning Application: This study demonstrates the effective use of machine learning models for churn prediction, with SVM outperforming others.</w:t>
      </w:r>
    </w:p>
    <w:p w14:paraId="64A561A0">
      <w:pPr>
        <w:numPr>
          <w:ilvl w:val="0"/>
          <w:numId w:val="12"/>
        </w:numPr>
        <w:spacing w:after="0" w:line="360" w:lineRule="auto"/>
        <w:jc w:val="both"/>
        <w:rPr>
          <w:rFonts w:hint="default"/>
          <w:lang w:val="en-US"/>
        </w:rPr>
      </w:pPr>
      <w:r>
        <w:rPr>
          <w:rFonts w:ascii="Times New Roman" w:hAnsi="Times New Roman" w:cs="Times New Roman"/>
          <w:sz w:val="24"/>
          <w:szCs w:val="24"/>
        </w:rPr>
        <w:t>Nigerian Context: It provides insights specific to the Nigerian telecom sector, addressing the gap in local churn prediction studies.</w:t>
      </w:r>
    </w:p>
    <w:p w14:paraId="56B49663">
      <w:pPr>
        <w:spacing w:after="0" w:line="360" w:lineRule="auto"/>
        <w:jc w:val="both"/>
      </w:pPr>
      <w:r>
        <w:rPr>
          <w:rFonts w:ascii="Times New Roman" w:hAnsi="Times New Roman" w:cs="Times New Roman"/>
          <w:sz w:val="24"/>
          <w:szCs w:val="24"/>
        </w:rPr>
        <w:t>Future research could expand the scope of the study to include a broader range of telecom operators and a larger dataset to validate the findings. Additionally, exploring the integration of machine learning with real-time customer analytics may provide even deeper insights into churn behavior and help telecom companies react proactively to customer needs.</w:t>
      </w:r>
    </w:p>
    <w:p w14:paraId="79AFD4BD">
      <w:pPr>
        <w:pStyle w:val="3"/>
        <w:spacing w:line="360" w:lineRule="auto"/>
        <w:rPr>
          <w:b/>
          <w:bCs/>
        </w:rPr>
      </w:pPr>
      <w:r>
        <w:rPr>
          <w:b/>
          <w:bCs/>
        </w:rPr>
        <w:t>5.</w:t>
      </w:r>
      <w:bookmarkEnd w:id="4"/>
      <w:bookmarkStart w:id="5" w:name="_Toc183163369"/>
      <w:r>
        <w:rPr>
          <w:rFonts w:hint="default"/>
          <w:b/>
          <w:bCs/>
          <w:lang w:val="en-US"/>
        </w:rPr>
        <w:t>4</w:t>
      </w:r>
      <w:r>
        <w:rPr>
          <w:rFonts w:hint="default"/>
          <w:b/>
          <w:bCs/>
          <w:lang w:val="en-US"/>
        </w:rPr>
        <w:tab/>
      </w:r>
      <w:r>
        <w:rPr>
          <w:b/>
          <w:bCs/>
        </w:rPr>
        <w:t>Recommendations</w:t>
      </w:r>
      <w:bookmarkEnd w:id="5"/>
    </w:p>
    <w:p w14:paraId="698157C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following recommendations are made based on the study findings:</w:t>
      </w:r>
    </w:p>
    <w:p w14:paraId="2210AC7B">
      <w:pPr>
        <w:numPr>
          <w:ilvl w:val="0"/>
          <w:numId w:val="1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Service Improvement Initiatives: Telecommunication companies, particularly MTN and Airtel, should invest in infrastructure upgrades to improve network coverage and service quality, which were the primary reasons for customer dissatisfaction.</w:t>
      </w:r>
    </w:p>
    <w:p w14:paraId="74B5BFF3">
      <w:pPr>
        <w:numPr>
          <w:ilvl w:val="0"/>
          <w:numId w:val="1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Utilizing Predictive Models: Companies should integrate the SVM model into their customer management systems to accurately predict churn and intervene early by offering targeted retention strategies such as loyalty programs, personalized offers, or addressing specific grievances.</w:t>
      </w:r>
    </w:p>
    <w:p w14:paraId="7B91C23D">
      <w:pPr>
        <w:numPr>
          <w:ilvl w:val="0"/>
          <w:numId w:val="1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Customer Feedback Mechanisms: Establishing more effective customer feedback loops can help identify service deficiencies before they escalate to churn. Implementing regular surveys, quick issue-resolution platforms, and more responsive customer service can significantly enhance customer satisfaction.</w:t>
      </w:r>
    </w:p>
    <w:p w14:paraId="21D58CD5">
      <w:pPr>
        <w:numPr>
          <w:ilvl w:val="0"/>
          <w:numId w:val="1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Customized Offers: Companies should consider developing more personalized promotions and incentives based on customer spending patterns and preferences. These could include data and voice bundles, price discounts, and special offers for long-term customers.</w:t>
      </w:r>
    </w:p>
    <w:p w14:paraId="188885CC">
      <w:pPr>
        <w:pStyle w:val="3"/>
        <w:numPr>
          <w:ilvl w:val="0"/>
          <w:numId w:val="0"/>
        </w:numPr>
        <w:spacing w:line="360" w:lineRule="auto"/>
        <w:jc w:val="left"/>
        <w:rPr>
          <w:rFonts w:hint="default"/>
          <w:b/>
          <w:bCs/>
          <w:lang w:val="en-US"/>
        </w:rPr>
      </w:pPr>
      <w:r>
        <w:rPr>
          <w:rFonts w:hint="default"/>
          <w:b/>
          <w:bCs/>
          <w:lang w:val="en-US"/>
        </w:rPr>
        <w:t>5.5</w:t>
      </w:r>
      <w:r>
        <w:rPr>
          <w:rFonts w:hint="default"/>
          <w:b/>
          <w:bCs/>
          <w:lang w:val="en-US"/>
        </w:rPr>
        <w:tab/>
      </w:r>
      <w:r>
        <w:rPr>
          <w:b/>
          <w:bCs/>
        </w:rPr>
        <w:t>Conclusion</w:t>
      </w:r>
    </w:p>
    <w:p w14:paraId="4881A25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Based on the findings from the data analysis and model evaluation, several conclusions can be drawn:</w:t>
      </w:r>
    </w:p>
    <w:p w14:paraId="303E15DC">
      <w:pPr>
        <w:numPr>
          <w:ilvl w:val="0"/>
          <w:numId w:val="14"/>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Service Quality and Customer Satisfaction: The study confirms that service quality remains the most critical determinant of customer loyalty in the Nigerian telecommunications industry. Customers are highly likely to switch providers due to poor service experiences, particularly concerning network coverage and billing issues.</w:t>
      </w:r>
    </w:p>
    <w:p w14:paraId="58D9777B">
      <w:pPr>
        <w:numPr>
          <w:ilvl w:val="0"/>
          <w:numId w:val="14"/>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Churn Prediction: The use of machine learning models for churn prediction has proven to be effective. The SVM emerged as the most accurate model for predicting customer churn, making it a valuable tool for telecom operators seeking to identify at-risk customers before they leave.</w:t>
      </w:r>
    </w:p>
    <w:p w14:paraId="7F647286">
      <w:pPr>
        <w:numPr>
          <w:ilvl w:val="0"/>
          <w:numId w:val="14"/>
        </w:numPr>
        <w:spacing w:after="0" w:line="360" w:lineRule="auto"/>
        <w:jc w:val="both"/>
        <w:rPr>
          <w:rFonts w:hint="default"/>
          <w:b/>
          <w:bCs/>
          <w:lang w:val="en-US"/>
        </w:rPr>
      </w:pPr>
      <w:r>
        <w:rPr>
          <w:rFonts w:ascii="Times New Roman" w:hAnsi="Times New Roman" w:cs="Times New Roman"/>
          <w:sz w:val="24"/>
          <w:szCs w:val="24"/>
        </w:rPr>
        <w:t>Improving Customer Retention: To minimize churn, telecommunications companies need to prioritize improving network reliability, billing transparency, and customer service. Additionally, offering competitive promotions and packages tailored to customer needs could help retain existing customers and attract new ones.</w:t>
      </w: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等线 Light">
    <w:altName w:val="FiraCode Nerd Font"/>
    <w:panose1 w:val="00000000000000000000"/>
    <w:charset w:val="00"/>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FiraCode Nerd Font">
    <w:panose1 w:val="02000009000000000000"/>
    <w:charset w:val="00"/>
    <w:family w:val="auto"/>
    <w:pitch w:val="default"/>
    <w:sig w:usb0="E00002EF" w:usb1="1201F9FB" w:usb2="02002038" w:usb3="00000000" w:csb0="6000009F" w:csb1="DFD70000"/>
  </w:font>
  <w:font w:name="Calibri">
    <w:panose1 w:val="020F0502020204030204"/>
    <w:charset w:val="86"/>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0">
    <w:nsid w:val="0B015FBD"/>
    <w:multiLevelType w:val="multilevel"/>
    <w:tmpl w:val="0B015FB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26E37A22"/>
    <w:multiLevelType w:val="multilevel"/>
    <w:tmpl w:val="26E37A2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
    <w:nsid w:val="4BFE07CC"/>
    <w:multiLevelType w:val="multilevel"/>
    <w:tmpl w:val="4BFE07C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3">
    <w:nsid w:val="711327AA"/>
    <w:multiLevelType w:val="multilevel"/>
    <w:tmpl w:val="711327AA"/>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1"/>
  </w:num>
  <w:num w:numId="13">
    <w:abstractNumId w:val="10"/>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7C95B05"/>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18D86A52"/>
    <w:rsid w:val="23957A8C"/>
    <w:rsid w:val="339B55AD"/>
    <w:rsid w:val="42264D31"/>
    <w:rsid w:val="47C95B05"/>
    <w:rsid w:val="55357F85"/>
    <w:rsid w:val="590D65AA"/>
    <w:rsid w:val="5C307C10"/>
    <w:rsid w:val="5E873A82"/>
    <w:rsid w:val="693E2E18"/>
    <w:rsid w:val="7C9D7D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unhideWhenUsed="0" w:uiPriority="0" w:semiHidden="0" w:name="List Continue 2"/>
    <w:lsdException w:unhideWhenUsed="0" w:uiPriority="0" w:semiHidden="0" w:name="List Continue 3"/>
    <w:lsdException w:qFormat="1"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qFormat="1" w:unhideWhenUsed="0" w:uiPriority="0" w:semiHidden="0" w:name="E-mail Signature"/>
    <w:lsdException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unhideWhenUsed="0" w:uiPriority="0" w:semiHidden="0" w:name="Table List 3"/>
    <w:lsdException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0"/>
      <w:sz w:val="22"/>
      <w:szCs w:val="22"/>
      <w:lang w:val="en-US" w:eastAsia="en-US" w:bidi="ar-SA"/>
      <w14:ligatures w14:val="none"/>
    </w:rPr>
  </w:style>
  <w:style w:type="paragraph" w:styleId="2">
    <w:name w:val="heading 1"/>
    <w:basedOn w:val="1"/>
    <w:next w:val="1"/>
    <w:link w:val="249"/>
    <w:qFormat/>
    <w:uiPriority w:val="0"/>
    <w:pPr>
      <w:keepNext/>
      <w:keepLines/>
      <w:spacing w:before="360" w:after="80"/>
      <w:outlineLvl w:val="0"/>
    </w:pPr>
    <w:rPr>
      <w:rFonts w:asciiTheme="majorAscii" w:hAnsiTheme="majorAscii" w:eastAsiaTheme="majorEastAsia" w:cstheme="majorBidi"/>
      <w:color w:val="2E75B6" w:themeColor="accent1" w:themeShade="BF"/>
      <w:sz w:val="40"/>
      <w:szCs w:val="40"/>
      <w:lang w:eastAsia="en-US"/>
    </w:rPr>
  </w:style>
  <w:style w:type="paragraph" w:styleId="3">
    <w:name w:val="heading 2"/>
    <w:basedOn w:val="1"/>
    <w:next w:val="1"/>
    <w:link w:val="253"/>
    <w:semiHidden/>
    <w:unhideWhenUsed/>
    <w:qFormat/>
    <w:uiPriority w:val="0"/>
    <w:pPr>
      <w:keepNext/>
      <w:keepLines/>
      <w:spacing w:before="160" w:after="80" w:line="480" w:lineRule="auto"/>
      <w:outlineLvl w:val="1"/>
    </w:pPr>
    <w:rPr>
      <w:rFonts w:asciiTheme="majorAscii" w:hAnsiTheme="majorAscii" w:eastAsiaTheme="majorEastAsia" w:cstheme="majorBidi"/>
      <w:color w:val="2E75B6" w:themeColor="accent1" w:themeShade="BF"/>
      <w:sz w:val="32"/>
      <w:szCs w:val="32"/>
      <w:lang w:eastAsia="en-US"/>
    </w:rPr>
  </w:style>
  <w:style w:type="paragraph" w:styleId="4">
    <w:name w:val="heading 3"/>
    <w:basedOn w:val="1"/>
    <w:next w:val="1"/>
    <w:link w:val="250"/>
    <w:semiHidden/>
    <w:unhideWhenUsed/>
    <w:qFormat/>
    <w:uiPriority w:val="0"/>
    <w:pPr>
      <w:keepNext/>
      <w:keepLines/>
      <w:spacing w:before="160" w:after="80"/>
      <w:outlineLvl w:val="2"/>
    </w:pPr>
    <w:rPr>
      <w:rFonts w:asciiTheme="minorAscii" w:hAnsiTheme="minorAscii" w:eastAsiaTheme="majorEastAsia" w:cstheme="majorBidi"/>
      <w:color w:val="2E75B6" w:themeColor="accent1" w:themeShade="BF"/>
      <w:sz w:val="28"/>
      <w:szCs w:val="28"/>
      <w:lang w:eastAsia="en-US"/>
    </w:rPr>
  </w:style>
  <w:style w:type="paragraph" w:styleId="5">
    <w:name w:val="heading 4"/>
    <w:basedOn w:val="1"/>
    <w:next w:val="1"/>
    <w:link w:val="251"/>
    <w:semiHidden/>
    <w:unhideWhenUsed/>
    <w:qFormat/>
    <w:uiPriority w:val="0"/>
    <w:pPr>
      <w:keepNext/>
      <w:keepLines/>
      <w:spacing w:before="80" w:after="40"/>
      <w:outlineLvl w:val="3"/>
    </w:pPr>
    <w:rPr>
      <w:rFonts w:asciiTheme="minorAscii" w:hAnsiTheme="minorAscii" w:eastAsiaTheme="majorEastAsia" w:cstheme="majorBidi"/>
      <w:i/>
      <w:iCs/>
      <w:color w:val="2E75B6" w:themeColor="accent1" w:themeShade="BF"/>
      <w:sz w:val="22"/>
      <w:szCs w:val="22"/>
      <w:lang w:eastAsia="en-US"/>
    </w:rPr>
  </w:style>
  <w:style w:type="paragraph" w:styleId="6">
    <w:name w:val="heading 5"/>
    <w:basedOn w:val="1"/>
    <w:next w:val="1"/>
    <w:link w:val="252"/>
    <w:semiHidden/>
    <w:unhideWhenUsed/>
    <w:qFormat/>
    <w:uiPriority w:val="0"/>
    <w:pPr>
      <w:keepNext/>
      <w:keepLines/>
      <w:spacing w:before="80" w:after="40"/>
      <w:outlineLvl w:val="4"/>
    </w:pPr>
    <w:rPr>
      <w:rFonts w:asciiTheme="minorAscii" w:hAnsiTheme="minorAscii" w:eastAsiaTheme="majorEastAsia" w:cstheme="majorBidi"/>
      <w:color w:val="2E75B6" w:themeColor="accent1" w:themeShade="BF"/>
      <w:sz w:val="22"/>
      <w:szCs w:val="22"/>
      <w:lang w:eastAsia="en-US"/>
    </w:rPr>
  </w:style>
  <w:style w:type="paragraph" w:styleId="7">
    <w:name w:val="heading 6"/>
    <w:basedOn w:val="1"/>
    <w:next w:val="1"/>
    <w:link w:val="254"/>
    <w:semiHidden/>
    <w:unhideWhenUsed/>
    <w:qFormat/>
    <w:uiPriority w:val="0"/>
    <w:pPr>
      <w:keepNext/>
      <w:keepLines/>
      <w:spacing w:before="40" w:after="0"/>
      <w:outlineLvl w:val="5"/>
    </w:pPr>
    <w:rPr>
      <w:rFonts w:asciiTheme="minorAscii" w:hAnsiTheme="minorAscii" w:eastAsiaTheme="majorEastAsia" w:cstheme="majorBidi"/>
      <w:i/>
      <w:iCs/>
      <w:color w:val="595959" w:themeColor="text1" w:themeTint="A6"/>
      <w:sz w:val="22"/>
      <w:szCs w:val="22"/>
      <w:lang w:eastAsia="en-US"/>
      <w14:textFill>
        <w14:solidFill>
          <w14:schemeClr w14:val="tx1">
            <w14:lumMod w14:val="65000"/>
            <w14:lumOff w14:val="35000"/>
          </w14:schemeClr>
        </w14:solidFill>
      </w14:textFill>
    </w:rPr>
  </w:style>
  <w:style w:type="paragraph" w:styleId="8">
    <w:name w:val="heading 7"/>
    <w:basedOn w:val="1"/>
    <w:next w:val="1"/>
    <w:link w:val="255"/>
    <w:semiHidden/>
    <w:unhideWhenUsed/>
    <w:qFormat/>
    <w:uiPriority w:val="0"/>
    <w:pPr>
      <w:keepNext/>
      <w:keepLines/>
      <w:spacing w:before="40" w:after="0"/>
      <w:outlineLvl w:val="6"/>
    </w:pPr>
    <w:rPr>
      <w:rFonts w:asciiTheme="minorAscii" w:hAnsiTheme="minorAscii" w:eastAsiaTheme="majorEastAsia" w:cstheme="majorBidi"/>
      <w:color w:val="595959" w:themeColor="text1" w:themeTint="A6"/>
      <w:sz w:val="22"/>
      <w:szCs w:val="22"/>
      <w:lang w:eastAsia="en-US"/>
      <w14:textFill>
        <w14:solidFill>
          <w14:schemeClr w14:val="tx1">
            <w14:lumMod w14:val="65000"/>
            <w14:lumOff w14:val="35000"/>
          </w14:schemeClr>
        </w14:solidFill>
      </w14:textFill>
    </w:rPr>
  </w:style>
  <w:style w:type="paragraph" w:styleId="9">
    <w:name w:val="heading 8"/>
    <w:basedOn w:val="1"/>
    <w:next w:val="1"/>
    <w:link w:val="256"/>
    <w:semiHidden/>
    <w:unhideWhenUsed/>
    <w:qFormat/>
    <w:uiPriority w:val="0"/>
    <w:pPr>
      <w:keepNext/>
      <w:keepLines/>
      <w:spacing w:after="0"/>
      <w:outlineLvl w:val="7"/>
    </w:pPr>
    <w:rPr>
      <w:rFonts w:asciiTheme="minorAscii" w:hAnsiTheme="minorAscii" w:eastAsiaTheme="majorEastAsia" w:cstheme="majorBidi"/>
      <w:i/>
      <w:iCs/>
      <w:color w:val="262626" w:themeColor="text1" w:themeTint="D9"/>
      <w:sz w:val="22"/>
      <w:szCs w:val="22"/>
      <w:lang w:eastAsia="en-US"/>
      <w14:textFill>
        <w14:solidFill>
          <w14:schemeClr w14:val="tx1">
            <w14:lumMod w14:val="85000"/>
            <w14:lumOff w14:val="15000"/>
          </w14:schemeClr>
        </w14:solidFill>
      </w14:textFill>
    </w:rPr>
  </w:style>
  <w:style w:type="paragraph" w:styleId="10">
    <w:name w:val="heading 9"/>
    <w:basedOn w:val="1"/>
    <w:next w:val="1"/>
    <w:link w:val="257"/>
    <w:semiHidden/>
    <w:unhideWhenUsed/>
    <w:qFormat/>
    <w:uiPriority w:val="0"/>
    <w:pPr>
      <w:keepNext/>
      <w:keepLines/>
      <w:spacing w:after="0"/>
      <w:outlineLvl w:val="8"/>
    </w:pPr>
    <w:rPr>
      <w:rFonts w:asciiTheme="minorAscii" w:hAnsiTheme="minorAscii" w:eastAsiaTheme="majorEastAsia" w:cstheme="majorBidi"/>
      <w:color w:val="262626" w:themeColor="text1" w:themeTint="D9"/>
      <w:sz w:val="22"/>
      <w:szCs w:val="22"/>
      <w:lang w:eastAsia="en-US"/>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uiPriority w:val="0"/>
    <w:rPr>
      <w:rFonts w:ascii="Arial" w:hAnsi="Arial" w:cs="Arial"/>
      <w:b/>
      <w:bCs/>
    </w:rPr>
  </w:style>
  <w:style w:type="character" w:styleId="62">
    <w:name w:val="line number"/>
    <w:basedOn w:val="11"/>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uiPriority w:val="0"/>
    <w:pPr>
      <w:spacing w:after="120"/>
      <w:ind w:left="840" w:leftChars="400"/>
    </w:pPr>
  </w:style>
  <w:style w:type="paragraph" w:styleId="75">
    <w:name w:val="List Continue 3"/>
    <w:basedOn w:val="1"/>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uiPriority w:val="0"/>
    <w:pPr>
      <w:spacing w:after="120"/>
      <w:ind w:left="2100" w:leftChars="1000"/>
    </w:pPr>
  </w:style>
  <w:style w:type="paragraph" w:styleId="78">
    <w:name w:val="List Number"/>
    <w:basedOn w:val="1"/>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uiPriority w:val="0"/>
    <w:rPr>
      <w:sz w:val="24"/>
      <w:szCs w:val="24"/>
    </w:rPr>
  </w:style>
  <w:style w:type="paragraph" w:styleId="86">
    <w:name w:val="Normal Indent"/>
    <w:basedOn w:val="1"/>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uiPriority w:val="0"/>
  </w:style>
  <w:style w:type="paragraph" w:styleId="89">
    <w:name w:val="Plain Text"/>
    <w:basedOn w:val="1"/>
    <w:uiPriority w:val="0"/>
    <w:rPr>
      <w:rFonts w:ascii="SimSun" w:hAnsi="Courier New" w:cs="Courier New"/>
      <w:szCs w:val="21"/>
    </w:rPr>
  </w:style>
  <w:style w:type="paragraph" w:styleId="90">
    <w:name w:val="Salutation"/>
    <w:basedOn w:val="1"/>
    <w:next w:val="1"/>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249">
    <w:name w:val="Heading 1 Char"/>
    <w:basedOn w:val="11"/>
    <w:link w:val="2"/>
    <w:qFormat/>
    <w:uiPriority w:val="9"/>
    <w:rPr>
      <w:rFonts w:asciiTheme="majorAscii" w:hAnsiTheme="majorAscii" w:eastAsiaTheme="majorEastAsia" w:cstheme="majorBidi"/>
      <w:color w:val="2E75B6" w:themeColor="accent1" w:themeShade="BF"/>
      <w:sz w:val="40"/>
      <w:szCs w:val="40"/>
      <w:lang w:eastAsia="en-US"/>
    </w:rPr>
  </w:style>
  <w:style w:type="character" w:customStyle="1" w:styleId="250">
    <w:name w:val="Heading 3 Char"/>
    <w:basedOn w:val="11"/>
    <w:link w:val="4"/>
    <w:semiHidden/>
    <w:qFormat/>
    <w:uiPriority w:val="9"/>
    <w:rPr>
      <w:rFonts w:asciiTheme="minorAscii" w:hAnsiTheme="minorAscii" w:eastAsiaTheme="majorEastAsia" w:cstheme="majorBidi"/>
      <w:color w:val="2E75B6" w:themeColor="accent1" w:themeShade="BF"/>
      <w:sz w:val="28"/>
      <w:szCs w:val="28"/>
      <w:lang w:eastAsia="en-US"/>
    </w:rPr>
  </w:style>
  <w:style w:type="character" w:customStyle="1" w:styleId="251">
    <w:name w:val="Heading 4 Char"/>
    <w:basedOn w:val="11"/>
    <w:link w:val="5"/>
    <w:semiHidden/>
    <w:qFormat/>
    <w:uiPriority w:val="9"/>
    <w:rPr>
      <w:rFonts w:asciiTheme="minorAscii" w:hAnsiTheme="minorAscii" w:eastAsiaTheme="majorEastAsia" w:cstheme="majorBidi"/>
      <w:i/>
      <w:iCs/>
      <w:color w:val="2E75B6" w:themeColor="accent1" w:themeShade="BF"/>
      <w:sz w:val="22"/>
      <w:szCs w:val="22"/>
      <w:lang w:eastAsia="en-US"/>
    </w:rPr>
  </w:style>
  <w:style w:type="character" w:customStyle="1" w:styleId="252">
    <w:name w:val="Heading 5 Char"/>
    <w:basedOn w:val="11"/>
    <w:link w:val="6"/>
    <w:semiHidden/>
    <w:qFormat/>
    <w:uiPriority w:val="9"/>
    <w:rPr>
      <w:rFonts w:asciiTheme="minorAscii" w:hAnsiTheme="minorAscii" w:eastAsiaTheme="majorEastAsia" w:cstheme="majorBidi"/>
      <w:color w:val="2E75B6" w:themeColor="accent1" w:themeShade="BF"/>
      <w:sz w:val="22"/>
      <w:szCs w:val="22"/>
      <w:lang w:eastAsia="en-US"/>
    </w:rPr>
  </w:style>
  <w:style w:type="character" w:customStyle="1" w:styleId="253">
    <w:name w:val="Heading 2 Char"/>
    <w:link w:val="3"/>
    <w:uiPriority w:val="9"/>
    <w:rPr>
      <w:rFonts w:asciiTheme="majorAscii" w:hAnsiTheme="majorAscii" w:eastAsiaTheme="majorEastAsia" w:cstheme="majorBidi"/>
      <w:color w:val="2E75B6" w:themeColor="accent1" w:themeShade="BF"/>
      <w:kern w:val="0"/>
      <w:sz w:val="32"/>
      <w:szCs w:val="32"/>
      <w:lang w:val="en-US" w:eastAsia="en-US" w:bidi="ar-SA"/>
      <w14:ligatures w14:val="none"/>
    </w:rPr>
  </w:style>
  <w:style w:type="character" w:customStyle="1" w:styleId="254">
    <w:name w:val="Heading 6 Char"/>
    <w:basedOn w:val="11"/>
    <w:link w:val="7"/>
    <w:semiHidden/>
    <w:qFormat/>
    <w:uiPriority w:val="9"/>
    <w:rPr>
      <w:rFonts w:asciiTheme="minorAscii" w:hAnsiTheme="minorAscii" w:eastAsiaTheme="majorEastAsia" w:cstheme="majorBidi"/>
      <w:i/>
      <w:iCs/>
      <w:color w:val="595959" w:themeColor="text1" w:themeTint="A6"/>
      <w:sz w:val="22"/>
      <w:szCs w:val="22"/>
      <w:lang w:eastAsia="en-US"/>
      <w14:textFill>
        <w14:solidFill>
          <w14:schemeClr w14:val="tx1">
            <w14:lumMod w14:val="65000"/>
            <w14:lumOff w14:val="35000"/>
          </w14:schemeClr>
        </w14:solidFill>
      </w14:textFill>
    </w:rPr>
  </w:style>
  <w:style w:type="character" w:customStyle="1" w:styleId="255">
    <w:name w:val="Heading 7 Char"/>
    <w:basedOn w:val="11"/>
    <w:link w:val="8"/>
    <w:semiHidden/>
    <w:qFormat/>
    <w:uiPriority w:val="9"/>
    <w:rPr>
      <w:rFonts w:asciiTheme="minorAscii" w:hAnsiTheme="minorAscii" w:eastAsiaTheme="majorEastAsia" w:cstheme="majorBidi"/>
      <w:color w:val="595959" w:themeColor="text1" w:themeTint="A6"/>
      <w:sz w:val="22"/>
      <w:szCs w:val="22"/>
      <w:lang w:eastAsia="en-US"/>
      <w14:textFill>
        <w14:solidFill>
          <w14:schemeClr w14:val="tx1">
            <w14:lumMod w14:val="65000"/>
            <w14:lumOff w14:val="35000"/>
          </w14:schemeClr>
        </w14:solidFill>
      </w14:textFill>
    </w:rPr>
  </w:style>
  <w:style w:type="character" w:customStyle="1" w:styleId="256">
    <w:name w:val="Heading 8 Char"/>
    <w:basedOn w:val="11"/>
    <w:link w:val="9"/>
    <w:semiHidden/>
    <w:qFormat/>
    <w:uiPriority w:val="9"/>
    <w:rPr>
      <w:rFonts w:asciiTheme="minorAscii" w:hAnsiTheme="minorAscii" w:eastAsiaTheme="majorEastAsia" w:cstheme="majorBidi"/>
      <w:i/>
      <w:iCs/>
      <w:color w:val="262626" w:themeColor="text1" w:themeTint="D9"/>
      <w:sz w:val="22"/>
      <w:szCs w:val="22"/>
      <w:lang w:eastAsia="en-US"/>
      <w14:textFill>
        <w14:solidFill>
          <w14:schemeClr w14:val="tx1">
            <w14:lumMod w14:val="85000"/>
            <w14:lumOff w14:val="15000"/>
          </w14:schemeClr>
        </w14:solidFill>
      </w14:textFill>
    </w:rPr>
  </w:style>
  <w:style w:type="character" w:customStyle="1" w:styleId="257">
    <w:name w:val="Heading 9 Char"/>
    <w:basedOn w:val="11"/>
    <w:link w:val="10"/>
    <w:semiHidden/>
    <w:qFormat/>
    <w:uiPriority w:val="9"/>
    <w:rPr>
      <w:rFonts w:asciiTheme="minorAscii" w:hAnsiTheme="minorAscii" w:eastAsiaTheme="majorEastAsia" w:cstheme="majorBidi"/>
      <w:color w:val="262626" w:themeColor="text1" w:themeTint="D9"/>
      <w:sz w:val="22"/>
      <w:szCs w:val="22"/>
      <w:lang w:eastAsia="en-US"/>
      <w14:textFill>
        <w14:solidFill>
          <w14:schemeClr w14:val="tx1">
            <w14:lumMod w14:val="85000"/>
            <w14:lumOff w14:val="15000"/>
          </w14:schemeClr>
        </w14:solidFill>
      </w14:textFill>
    </w:rPr>
  </w:style>
  <w:style w:type="paragraph" w:styleId="258">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2026-03-16T10:00:00Z</dcterms:created>
  <dc:creator>Caleb Azunobi</dc:creator>
  <cp:lastModifiedBy>Caleb Azunobi</cp:lastModifiedBy>
  <dcterms:modified xsi:type="dcterms:W3CDTF">2026-03-16T10:30:21Z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883A220791E34902A2A817E08856CFB4_11</vt:lpwstr>
  </property>
</Properties>
</file>