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6B177">
      <w:pPr>
        <w:pStyle w:val="2"/>
        <w:bidi w:val="0"/>
        <w:spacing w:line="360" w:lineRule="auto"/>
        <w:jc w:val="center"/>
        <w:rPr>
          <w:rFonts w:hint="default"/>
          <w:b/>
          <w:bCs/>
          <w:lang w:val="en-US"/>
        </w:rPr>
      </w:pPr>
      <w:r>
        <w:rPr>
          <w:rFonts w:hint="default"/>
          <w:b/>
          <w:bCs/>
          <w:lang w:val="en-US"/>
        </w:rPr>
        <w:t>CHAPTER TWO</w:t>
      </w:r>
    </w:p>
    <w:p w14:paraId="194CA12E">
      <w:pPr>
        <w:pStyle w:val="2"/>
        <w:bidi w:val="0"/>
        <w:spacing w:line="360" w:lineRule="auto"/>
        <w:jc w:val="center"/>
        <w:rPr>
          <w:rFonts w:hint="default"/>
          <w:b/>
          <w:bCs/>
          <w:lang w:val="en-US"/>
        </w:rPr>
      </w:pPr>
      <w:r>
        <w:rPr>
          <w:rFonts w:hint="default"/>
          <w:b/>
          <w:bCs/>
          <w:lang w:val="en-US"/>
        </w:rPr>
        <w:t>LITERATURE REVIEW</w:t>
      </w:r>
    </w:p>
    <w:p w14:paraId="6E4EEB3D">
      <w:pPr>
        <w:pStyle w:val="3"/>
        <w:spacing w:line="360" w:lineRule="auto"/>
        <w:rPr>
          <w:rFonts w:hint="default"/>
          <w:b/>
          <w:bCs/>
          <w:lang w:val="en-US"/>
        </w:rPr>
      </w:pPr>
      <w:bookmarkStart w:id="0" w:name="_Toc183163325"/>
      <w:r>
        <w:rPr>
          <w:rFonts w:hint="default"/>
          <w:b/>
          <w:bCs/>
          <w:lang w:val="en-US"/>
        </w:rPr>
        <w:t>2.1</w:t>
      </w:r>
      <w:r>
        <w:rPr>
          <w:rFonts w:hint="default"/>
          <w:b/>
          <w:bCs/>
          <w:lang w:val="en-US"/>
        </w:rPr>
        <w:tab/>
      </w:r>
      <w:r>
        <w:rPr>
          <w:rFonts w:hint="default"/>
          <w:b/>
          <w:bCs/>
          <w:lang w:val="en-US"/>
        </w:rPr>
        <w:t>Chapter Overview</w:t>
      </w:r>
    </w:p>
    <w:p w14:paraId="587DBF71">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sz w:val="24"/>
          <w:szCs w:val="24"/>
          <w:lang w:val="en-US"/>
        </w:rPr>
        <w:t xml:space="preserve">This chapter provides a comprehensive review of the existing body of knowledge on customer churn within the telecommunications industry, with a specific focus on predictive analytics and machine learning approaches. The purpose is to contextualize the study, highlight gaps in prior research, and establish a strong theoretical foundation for the present work. The chapter begins by introducing the </w:t>
      </w:r>
      <w:r>
        <w:rPr>
          <w:rFonts w:hint="default" w:ascii="Times New Roman" w:hAnsi="Times New Roman" w:cs="Times New Roman"/>
          <w:b/>
          <w:bCs/>
          <w:sz w:val="24"/>
          <w:szCs w:val="24"/>
          <w:lang w:val="en-US"/>
        </w:rPr>
        <w:t>concept of customer churn</w:t>
      </w:r>
      <w:r>
        <w:rPr>
          <w:rFonts w:hint="default" w:ascii="Times New Roman" w:hAnsi="Times New Roman" w:cs="Times New Roman"/>
          <w:b w:val="0"/>
          <w:bCs w:val="0"/>
          <w:sz w:val="24"/>
          <w:szCs w:val="24"/>
          <w:lang w:val="en-US"/>
        </w:rPr>
        <w:t xml:space="preserve">, emphasizing its impact on business performance, revenue generation, operational efficiency, and brand reputation. Both </w:t>
      </w:r>
      <w:r>
        <w:rPr>
          <w:rFonts w:hint="default" w:ascii="Times New Roman" w:hAnsi="Times New Roman" w:cs="Times New Roman"/>
          <w:b/>
          <w:bCs/>
          <w:sz w:val="24"/>
          <w:szCs w:val="24"/>
          <w:lang w:val="en-US"/>
        </w:rPr>
        <w:t>voluntary churn</w:t>
      </w:r>
      <w:r>
        <w:rPr>
          <w:rFonts w:hint="default" w:ascii="Times New Roman" w:hAnsi="Times New Roman" w:cs="Times New Roman"/>
          <w:b w:val="0"/>
          <w:bCs w:val="0"/>
          <w:sz w:val="24"/>
          <w:szCs w:val="24"/>
          <w:lang w:val="en-US"/>
        </w:rPr>
        <w:t xml:space="preserve"> (customer-initiated termination due to dissatisfaction, pricing, or competitor offers) and </w:t>
      </w:r>
      <w:r>
        <w:rPr>
          <w:rFonts w:hint="default" w:ascii="Times New Roman" w:hAnsi="Times New Roman" w:cs="Times New Roman"/>
          <w:b/>
          <w:bCs/>
          <w:sz w:val="24"/>
          <w:szCs w:val="24"/>
          <w:lang w:val="en-US"/>
        </w:rPr>
        <w:t>involuntary churn</w:t>
      </w:r>
      <w:r>
        <w:rPr>
          <w:rFonts w:hint="default" w:ascii="Times New Roman" w:hAnsi="Times New Roman" w:cs="Times New Roman"/>
          <w:b w:val="0"/>
          <w:bCs w:val="0"/>
          <w:sz w:val="24"/>
          <w:szCs w:val="24"/>
          <w:lang w:val="en-US"/>
        </w:rPr>
        <w:t xml:space="preserve"> (service provider-initiated termination due to non-payment, fraud, or regulatory issues) are examined.</w:t>
      </w:r>
    </w:p>
    <w:p w14:paraId="4B6EC112">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Next, the review explores the </w:t>
      </w:r>
      <w:r>
        <w:rPr>
          <w:rFonts w:hint="default" w:ascii="Times New Roman" w:hAnsi="Times New Roman" w:cs="Times New Roman"/>
          <w:b/>
          <w:bCs/>
          <w:sz w:val="24"/>
          <w:szCs w:val="24"/>
          <w:lang w:val="en-US"/>
        </w:rPr>
        <w:t>major causes of churn</w:t>
      </w:r>
      <w:r>
        <w:rPr>
          <w:rFonts w:hint="default" w:ascii="Times New Roman" w:hAnsi="Times New Roman" w:cs="Times New Roman"/>
          <w:b w:val="0"/>
          <w:bCs w:val="0"/>
          <w:sz w:val="24"/>
          <w:szCs w:val="24"/>
          <w:lang w:val="en-US"/>
        </w:rPr>
        <w:t xml:space="preserve"> in telecommunications. Key determinants such as </w:t>
      </w:r>
      <w:r>
        <w:rPr>
          <w:rFonts w:hint="default" w:ascii="Times New Roman" w:hAnsi="Times New Roman" w:cs="Times New Roman"/>
          <w:b/>
          <w:bCs/>
          <w:sz w:val="24"/>
          <w:szCs w:val="24"/>
          <w:lang w:val="en-US"/>
        </w:rPr>
        <w:t>service quality, pricing structures, customer service efficiency, competition, and lack of personalization</w:t>
      </w:r>
      <w:r>
        <w:rPr>
          <w:rFonts w:hint="default" w:ascii="Times New Roman" w:hAnsi="Times New Roman" w:cs="Times New Roman"/>
          <w:b w:val="0"/>
          <w:bCs w:val="0"/>
          <w:sz w:val="24"/>
          <w:szCs w:val="24"/>
          <w:lang w:val="en-US"/>
        </w:rPr>
        <w:t xml:space="preserve"> are examined in detail. The chapter further evaluates </w:t>
      </w:r>
      <w:r>
        <w:rPr>
          <w:rFonts w:hint="default" w:ascii="Times New Roman" w:hAnsi="Times New Roman" w:cs="Times New Roman"/>
          <w:b/>
          <w:bCs/>
          <w:sz w:val="24"/>
          <w:szCs w:val="24"/>
          <w:lang w:val="en-US"/>
        </w:rPr>
        <w:t>traditional statistical methods for churn prediction</w:t>
      </w:r>
      <w:r>
        <w:rPr>
          <w:rFonts w:hint="default" w:ascii="Times New Roman" w:hAnsi="Times New Roman" w:cs="Times New Roman"/>
          <w:b w:val="0"/>
          <w:bCs w:val="0"/>
          <w:sz w:val="24"/>
          <w:szCs w:val="24"/>
          <w:lang w:val="en-US"/>
        </w:rPr>
        <w:t xml:space="preserve">, including but not limited to </w:t>
      </w:r>
      <w:r>
        <w:rPr>
          <w:rFonts w:hint="default" w:ascii="Times New Roman" w:hAnsi="Times New Roman" w:cs="Times New Roman"/>
          <w:b/>
          <w:bCs/>
          <w:sz w:val="24"/>
          <w:szCs w:val="24"/>
          <w:lang w:val="en-US"/>
        </w:rPr>
        <w:t>logistic regression</w:t>
      </w:r>
      <w:r>
        <w:rPr>
          <w:rFonts w:hint="default" w:ascii="Times New Roman" w:hAnsi="Times New Roman" w:cs="Times New Roman"/>
          <w:b w:val="0"/>
          <w:bCs w:val="0"/>
          <w:sz w:val="24"/>
          <w:szCs w:val="24"/>
          <w:lang w:val="en-US"/>
        </w:rPr>
        <w:t xml:space="preserve"> and </w:t>
      </w:r>
      <w:r>
        <w:rPr>
          <w:rFonts w:hint="default" w:ascii="Times New Roman" w:hAnsi="Times New Roman" w:cs="Times New Roman"/>
          <w:b/>
          <w:bCs/>
          <w:sz w:val="24"/>
          <w:szCs w:val="24"/>
          <w:lang w:val="en-US"/>
        </w:rPr>
        <w:t>survival analysis</w:t>
      </w:r>
      <w:r>
        <w:rPr>
          <w:rFonts w:hint="default" w:ascii="Times New Roman" w:hAnsi="Times New Roman" w:cs="Times New Roman"/>
          <w:b w:val="0"/>
          <w:bCs w:val="0"/>
          <w:sz w:val="24"/>
          <w:szCs w:val="24"/>
          <w:lang w:val="en-US"/>
        </w:rPr>
        <w:t xml:space="preserve">. Building on this, the review transitions to </w:t>
      </w:r>
      <w:r>
        <w:rPr>
          <w:rFonts w:hint="default" w:ascii="Times New Roman" w:hAnsi="Times New Roman" w:cs="Times New Roman"/>
          <w:b/>
          <w:bCs/>
          <w:sz w:val="24"/>
          <w:szCs w:val="24"/>
          <w:lang w:val="en-US"/>
        </w:rPr>
        <w:t>machine learning (ML) methods</w:t>
      </w:r>
      <w:r>
        <w:rPr>
          <w:rFonts w:hint="default" w:ascii="Times New Roman" w:hAnsi="Times New Roman" w:cs="Times New Roman"/>
          <w:b w:val="0"/>
          <w:bCs w:val="0"/>
          <w:sz w:val="24"/>
          <w:szCs w:val="24"/>
          <w:lang w:val="en-US"/>
        </w:rPr>
        <w:t xml:space="preserve"> that have emerged as superior alternatives for churn prediction. The chapter highlights </w:t>
      </w:r>
      <w:r>
        <w:rPr>
          <w:rFonts w:hint="default" w:ascii="Times New Roman" w:hAnsi="Times New Roman" w:cs="Times New Roman"/>
          <w:b/>
          <w:bCs/>
          <w:sz w:val="24"/>
          <w:szCs w:val="24"/>
          <w:lang w:val="en-US"/>
        </w:rPr>
        <w:t>feature engineering and selection</w:t>
      </w:r>
      <w:r>
        <w:rPr>
          <w:rFonts w:hint="default" w:ascii="Times New Roman" w:hAnsi="Times New Roman" w:cs="Times New Roman"/>
          <w:b w:val="0"/>
          <w:bCs w:val="0"/>
          <w:sz w:val="24"/>
          <w:szCs w:val="24"/>
          <w:lang w:val="en-US"/>
        </w:rPr>
        <w:t xml:space="preserve"> techniques, which transform raw telecom data into meaningful predictors. Special attention is given to </w:t>
      </w:r>
      <w:r>
        <w:rPr>
          <w:rFonts w:hint="default" w:ascii="Times New Roman" w:hAnsi="Times New Roman" w:cs="Times New Roman"/>
          <w:b/>
          <w:bCs/>
          <w:sz w:val="24"/>
          <w:szCs w:val="24"/>
          <w:lang w:val="en-US"/>
        </w:rPr>
        <w:t>evaluation metrics</w:t>
      </w:r>
      <w:r>
        <w:rPr>
          <w:rFonts w:hint="default" w:ascii="Times New Roman" w:hAnsi="Times New Roman" w:cs="Times New Roman"/>
          <w:b w:val="0"/>
          <w:bCs w:val="0"/>
          <w:sz w:val="24"/>
          <w:szCs w:val="24"/>
          <w:lang w:val="en-US"/>
        </w:rPr>
        <w:t xml:space="preserve"> - including </w:t>
      </w:r>
      <w:r>
        <w:rPr>
          <w:rFonts w:hint="default" w:ascii="Times New Roman" w:hAnsi="Times New Roman" w:cs="Times New Roman"/>
          <w:b/>
          <w:bCs/>
          <w:sz w:val="24"/>
          <w:szCs w:val="24"/>
          <w:lang w:val="en-US"/>
        </w:rPr>
        <w:t>accuracy, precision, recall, F1-score, and ROC-AUC</w:t>
      </w:r>
      <w:r>
        <w:rPr>
          <w:rFonts w:hint="default" w:ascii="Times New Roman" w:hAnsi="Times New Roman" w:cs="Times New Roman"/>
          <w:b w:val="0"/>
          <w:bCs w:val="0"/>
          <w:sz w:val="24"/>
          <w:szCs w:val="24"/>
          <w:lang w:val="en-US"/>
        </w:rPr>
        <w:t xml:space="preserve"> - as tools for measuring the effectiveness of churn prediction models. Likewise, the chapter also recognizes </w:t>
      </w:r>
      <w:r>
        <w:rPr>
          <w:rFonts w:hint="default" w:ascii="Times New Roman" w:hAnsi="Times New Roman" w:cs="Times New Roman"/>
          <w:b/>
          <w:bCs/>
          <w:sz w:val="24"/>
          <w:szCs w:val="24"/>
          <w:lang w:val="en-US"/>
        </w:rPr>
        <w:t>challenges in churn prediction</w:t>
      </w:r>
      <w:r>
        <w:rPr>
          <w:rFonts w:hint="default" w:ascii="Times New Roman" w:hAnsi="Times New Roman" w:cs="Times New Roman"/>
          <w:b w:val="0"/>
          <w:bCs w:val="0"/>
          <w:sz w:val="24"/>
          <w:szCs w:val="24"/>
          <w:lang w:val="en-US"/>
        </w:rPr>
        <w:t xml:space="preserve">. </w:t>
      </w:r>
    </w:p>
    <w:p w14:paraId="00754571">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Finally, the literature review incorporates </w:t>
      </w:r>
      <w:r>
        <w:rPr>
          <w:rFonts w:hint="default" w:ascii="Times New Roman" w:hAnsi="Times New Roman" w:cs="Times New Roman"/>
          <w:b/>
          <w:bCs/>
          <w:sz w:val="24"/>
          <w:szCs w:val="24"/>
          <w:lang w:val="en-US"/>
        </w:rPr>
        <w:t>case studies</w:t>
      </w:r>
      <w:r>
        <w:rPr>
          <w:rFonts w:hint="default" w:ascii="Times New Roman" w:hAnsi="Times New Roman" w:cs="Times New Roman"/>
          <w:b w:val="0"/>
          <w:bCs w:val="0"/>
          <w:sz w:val="24"/>
          <w:szCs w:val="24"/>
          <w:lang w:val="en-US"/>
        </w:rPr>
        <w:t xml:space="preserve"> from global telecommunications companies such as Vodafone, AT&amp;T, T-Mobile. From these examples, the importance of </w:t>
      </w:r>
      <w:r>
        <w:rPr>
          <w:rFonts w:hint="default" w:ascii="Times New Roman" w:hAnsi="Times New Roman" w:cs="Times New Roman"/>
          <w:b/>
          <w:bCs/>
          <w:sz w:val="24"/>
          <w:szCs w:val="24"/>
          <w:lang w:val="en-US"/>
        </w:rPr>
        <w:t xml:space="preserve">data integration, feature engineering, ensemble methods, and actionable insights </w:t>
      </w:r>
      <w:r>
        <w:rPr>
          <w:rFonts w:hint="default" w:ascii="Times New Roman" w:hAnsi="Times New Roman" w:cs="Times New Roman"/>
          <w:b w:val="0"/>
          <w:bCs w:val="0"/>
          <w:sz w:val="24"/>
          <w:szCs w:val="24"/>
          <w:lang w:val="en-US"/>
        </w:rPr>
        <w:t>emerge as central themes.</w:t>
      </w:r>
    </w:p>
    <w:p w14:paraId="711701AD">
      <w:pPr>
        <w:pStyle w:val="3"/>
        <w:spacing w:line="360" w:lineRule="auto"/>
        <w:rPr>
          <w:b/>
          <w:bCs/>
        </w:rPr>
      </w:pPr>
      <w:r>
        <w:rPr>
          <w:b/>
          <w:bCs/>
        </w:rPr>
        <w:t>2.</w:t>
      </w:r>
      <w:r>
        <w:rPr>
          <w:rFonts w:hint="default"/>
          <w:b/>
          <w:bCs/>
          <w:lang w:val="en-US"/>
        </w:rPr>
        <w:t>2</w:t>
      </w:r>
      <w:r>
        <w:rPr>
          <w:rFonts w:hint="default"/>
          <w:b/>
          <w:bCs/>
          <w:lang w:val="en-US"/>
        </w:rPr>
        <w:tab/>
      </w:r>
      <w:r>
        <w:rPr>
          <w:b/>
          <w:bCs/>
        </w:rPr>
        <w:t>Concept of Customer Churn in Telecommunications</w:t>
      </w:r>
      <w:bookmarkEnd w:id="0"/>
      <w:r>
        <w:rPr>
          <w:b/>
          <w:bCs/>
        </w:rPr>
        <w:t xml:space="preserve"> </w:t>
      </w:r>
    </w:p>
    <w:p w14:paraId="1AA850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churn, sometimes called customer attrition, is one of the key measures of telecommunications companies that reflects the rate of customer desertion (Chang et al.,2024). It is crucial to define churn and its types to be able to create proper retention strategies. Broadly, customer churn can be classified into two categories: customer churn and forced churn (Amin et al.,2018).</w:t>
      </w:r>
    </w:p>
    <w:p w14:paraId="46333AC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kind of churn is one in which customers themselves choose to end their relationship with a provider. This decision can be as a result of many reasons with the main one being customer dissatisfaction or the perceived better offers from other service providers. A major motivator is dissatisfaction with services received where customer expectations and their goal have not been met from the service provider end through frequent call drops, slow internet connection or low network coverage. For instance, Huang and Wang (2018) deem that among the key</w:t>
      </w:r>
      <w:r>
        <w:rPr>
          <w:rFonts w:hint="default" w:ascii="Times New Roman" w:hAnsi="Times New Roman" w:cs="Times New Roman"/>
          <w:sz w:val="24"/>
          <w:szCs w:val="24"/>
          <w:lang w:val="en-US"/>
        </w:rPr>
        <w:t xml:space="preserve"> factors that</w:t>
      </w:r>
      <w:r>
        <w:rPr>
          <w:rFonts w:ascii="Times New Roman" w:hAnsi="Times New Roman" w:cs="Times New Roman"/>
          <w:sz w:val="24"/>
          <w:szCs w:val="24"/>
        </w:rPr>
        <w:t xml:space="preserve"> account as determinants of customer loyalty are network performance in the telecommunications sector. In addition, the matters that concern customer relations are also very significant. This avails operational service </w:t>
      </w:r>
      <w:r>
        <w:rPr>
          <w:rFonts w:ascii="Times New Roman" w:hAnsi="Times New Roman" w:cs="Times New Roman"/>
          <w:sz w:val="24"/>
          <w:szCs w:val="24"/>
          <w:lang w:val="en-US"/>
        </w:rPr>
        <w:t>duration</w:t>
      </w:r>
      <w:r>
        <w:rPr>
          <w:rFonts w:hint="default" w:ascii="Times New Roman" w:hAnsi="Times New Roman" w:cs="Times New Roman"/>
          <w:sz w:val="24"/>
          <w:szCs w:val="24"/>
          <w:lang w:val="en-US"/>
        </w:rPr>
        <w:t>s</w:t>
      </w:r>
      <w:r>
        <w:rPr>
          <w:rFonts w:ascii="Times New Roman" w:hAnsi="Times New Roman" w:cs="Times New Roman"/>
          <w:sz w:val="24"/>
          <w:szCs w:val="24"/>
        </w:rPr>
        <w:t xml:space="preserve"> relative to the amounts of time that customers have to wait for assistance, unresolved issues, and strands of communication that objective customers</w:t>
      </w:r>
      <w:r>
        <w:rPr>
          <w:rFonts w:hint="default" w:ascii="Times New Roman" w:hAnsi="Times New Roman" w:cs="Times New Roman"/>
          <w:sz w:val="24"/>
          <w:szCs w:val="24"/>
          <w:lang w:val="en-US"/>
        </w:rPr>
        <w:t xml:space="preserve"> cannot deal with</w:t>
      </w:r>
      <w:r>
        <w:rPr>
          <w:rFonts w:ascii="Times New Roman" w:hAnsi="Times New Roman" w:cs="Times New Roman"/>
          <w:sz w:val="24"/>
          <w:szCs w:val="24"/>
        </w:rPr>
        <w:t>, compelling them to shift their allegiance to better-supporting providers (Lee, 2020).</w:t>
      </w:r>
    </w:p>
    <w:p w14:paraId="3662ADE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Pricing and billing issues as a category are generally considered to be a significant reason for voluntary churn. Subscribers might also be unfollowing due to existence of high costs or hidden charges as well as wrong billings (Smith, 2019). In a competitive environment where price factors can dictate the customers’ decision, simplicity in billing and reasonable price should be employed. Also, the competitors’ attractive offers are a major reason that customers switch sides. Telecom companies often undertake cutthroat promotional strategies to capture the attention of the consumer with respect to the pricing plans, service packages and value-added services (Kim et al., 2021).</w:t>
      </w:r>
    </w:p>
    <w:p w14:paraId="02B52C1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Voluntary churn can also be brought about by changes in life style. The factors that can cause customers to cancel their services include; </w:t>
      </w:r>
      <w:r>
        <w:rPr>
          <w:rFonts w:hint="default" w:ascii="Times New Roman" w:hAnsi="Times New Roman" w:cs="Times New Roman"/>
          <w:sz w:val="24"/>
          <w:szCs w:val="24"/>
          <w:lang w:val="en-US"/>
        </w:rPr>
        <w:t>r</w:t>
      </w:r>
      <w:r>
        <w:rPr>
          <w:rFonts w:ascii="Times New Roman" w:hAnsi="Times New Roman" w:cs="Times New Roman"/>
          <w:sz w:val="24"/>
          <w:szCs w:val="24"/>
        </w:rPr>
        <w:t>elocation, job loss, need for a different job, financial strains, and family issues. For instance, a customer migrating to an area with inadequate service provision from the current provider may go to the rival firm (Bandyopadhyay and Martell, 2017). Moreover, technological dynamics also appear to be at work, in that customers may migrate to different providers if the latter offers newer technologies, for instance 5G networks than what their current provider can provide., Wirtz et al (2023).</w:t>
      </w:r>
    </w:p>
    <w:p w14:paraId="7B692D4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On the other hand, the involuntary churn takes place when the service provider ends the customer relationship. It is different from user-initiated churn, in that it may stem from factors such as non</w:t>
      </w:r>
      <w:r>
        <w:rPr>
          <w:rFonts w:hint="default" w:ascii="Times New Roman" w:hAnsi="Times New Roman" w:cs="Times New Roman"/>
          <w:sz w:val="24"/>
          <w:szCs w:val="24"/>
          <w:lang w:val="en-US"/>
        </w:rPr>
        <w:t>-</w:t>
      </w:r>
      <w:r>
        <w:rPr>
          <w:rFonts w:ascii="Times New Roman" w:hAnsi="Times New Roman" w:cs="Times New Roman"/>
          <w:sz w:val="24"/>
          <w:szCs w:val="24"/>
        </w:rPr>
        <w:t>payment, regulatory changes, internal business decisions by the service provider. Involuntary churn can further be described as erroneous churn caused by non-payment where customers who haven’t paid their bills are disconnected (Anderson &amp; Srinivasan, 2003). This is also a type of churn that is involuntary because a provider can be compelled to cease offering some service due to regulatory adjustments. The government may change its policies or licensing agreements which forces providers to shut down their services to some geographically or by service type (Vlachos, 2018).</w:t>
      </w:r>
    </w:p>
    <w:p w14:paraId="0CFB864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Some of the common causes for service termination by the provider include a deliberate plan to improve service delivery by replacing some of the existing networks, some services might be shut down for a certain period due to upgrades among others while others might be due to mergers or acquisitions. This can push the customers to change the provider, which results in the exclusion of involuntary churn (Jiang and Klein, 2019). Another factor is fraudulent behavior although this we may see telecom companies canceling the service if they evidence fraudulent or misuse of services (Wei and Chiu, 2022). Further, providers may cease offering services to customers who not only don’t generate any revenue for themselves but are also not particularly good for business. Examples of this strategy include the firing of customers with limited usage or contribution in the firm’s revenue (Liu and Shih, 2015).</w:t>
      </w:r>
    </w:p>
    <w:p w14:paraId="285ABE6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problems of customer churn are highly significant for telecommunications firms in terms of revenue, efficiency, and market standing. The biggest rub is the revenue impact where organizations lose the regular revenue earned by the customer who churned. This is especially so especially in an industry in which the lifetime value of customers is a measurement most often used (Gupta et al., 2016). They are also associated with higher customer acquisition costs due to the high churn rate that is always observed. The price to attract new customers is normally higher than the price required to maintain existing customer, therefore to attract new customers more marketing and sales effort is done to ensure that they get new customers, in the process the cost of acquisition rises (Blattberg et al., 2019).</w:t>
      </w:r>
    </w:p>
    <w:p w14:paraId="3C46B41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effect of high churn rates…</w:t>
      </w:r>
      <w:r>
        <w:rPr>
          <w:rFonts w:hint="default" w:ascii="Times New Roman" w:hAnsi="Times New Roman" w:cs="Times New Roman"/>
          <w:sz w:val="24"/>
          <w:szCs w:val="24"/>
          <w:lang w:val="en-US"/>
        </w:rPr>
        <w:t xml:space="preserve"> </w:t>
      </w:r>
      <w:r>
        <w:rPr>
          <w:rFonts w:ascii="Times New Roman" w:hAnsi="Times New Roman" w:cs="Times New Roman"/>
          <w:sz w:val="24"/>
          <w:szCs w:val="24"/>
        </w:rPr>
        <w:t>it put</w:t>
      </w:r>
      <w:r>
        <w:rPr>
          <w:rFonts w:hint="default" w:ascii="Times New Roman" w:hAnsi="Times New Roman" w:cs="Times New Roman"/>
          <w:sz w:val="24"/>
          <w:szCs w:val="24"/>
          <w:lang w:val="en-US"/>
        </w:rPr>
        <w:t>s</w:t>
      </w:r>
      <w:r>
        <w:rPr>
          <w:rFonts w:ascii="Times New Roman" w:hAnsi="Times New Roman" w:cs="Times New Roman"/>
          <w:sz w:val="24"/>
          <w:szCs w:val="24"/>
        </w:rPr>
        <w:t xml:space="preserve"> a lot of pressure on the customer services team, there are great challenges in handling customers’ change of allegiance and there can be issues with the network (Ahn et al., 2016). High churn rates are bad for a firm because they give the wrong signal to the market place that customers are not happy with the product. From this perception, potential customers are likely to be discouraged and the competitive standing of the company is likely to be eroded (Verhoef et al., 2010). In addition, the churn of customers clearly threatens endeavors to foster customer loyalty and positive word-of-mouth. The customers also recommend the company and its products to others, but high rates of attrition diminish these advantages (Anderson, 2018).</w:t>
      </w:r>
    </w:p>
    <w:p w14:paraId="7F77547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Churn rates remain significant challenges to telecommunications companies which use a range of tactics to tackle it and improve customer loyalty. The customers with such intentions are easily flagged early on and companies now leverage predictive analytics as well as machine learning models. Analyzing and identifying the likelihood of customers to churn allows companies to carry out specific retention measures (Lemmens and Croux, 2016).</w:t>
      </w:r>
    </w:p>
    <w:p w14:paraId="1FF0DE2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service requires priority, and more flow, customer service training, effective facilities and timely personal attention to resolve the customer’s problem or complaint, customer satisfaction (Homburg and Giering, 2021).</w:t>
      </w:r>
    </w:p>
    <w:p w14:paraId="7686841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Product and service pricing and other incentives are another important factor for driving the consumers’ traffic. Open pricing and subsequent services of reasonable cost are prerequisites for trust (Bolton et al., 2020). Investing on infrastructure and improving service quality, increasing coverage and minimizing disruption can increase customer satisfaction in networks services (Verhoef et al., 2017). Communicative and interaction plans can introduce a greater level of customer bonding, which in turn would create more effective marketing, as well as targeting relevant content to clients to foster loyalty (Blattberg et al., 2019).</w:t>
      </w:r>
    </w:p>
    <w:p w14:paraId="2187042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When it comes to gain insights from customer, feedback can be sought and acted upon can go a long way in building improvement. Customer surveys and monitoring have been used to establish areas that require improvement (Reichheld and Sasser, 1990). The availability of various contract types and payment options may meet the needs of consumers and minimize contractible behavior (Kim et al., 2021). Loyalty strategies such as offering long term prizes to customers can help in encouraging customer loyalty. Customer loyalty can be a driving factor when customers are appreciated in the organization (Verhoef, 2013).</w:t>
      </w:r>
    </w:p>
    <w:p w14:paraId="53B65DC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Exploring customer churn and its causes becomes relevant when differentiating between telecommunication customers’ churn and exploring why it happens. Customer churn, the kind that occurs due to dissatisfaction with the company’s services, or even better offers from competitors can be hugely tasking, as is [retention that is occasioned by non-payment or instantaneous change of regulatory frameworks within the telecom sector]. Through the use of predictive analytics, improvement in the customer service delivered as well as the integration of proper strategies of retaining customers, churn becomes something that is avoided effectively by firms.</w:t>
      </w:r>
    </w:p>
    <w:p w14:paraId="163945F6">
      <w:pPr>
        <w:pStyle w:val="3"/>
        <w:bidi w:val="0"/>
        <w:spacing w:line="360" w:lineRule="auto"/>
        <w:rPr>
          <w:b/>
          <w:bCs/>
        </w:rPr>
      </w:pPr>
      <w:r>
        <w:rPr>
          <w:b/>
          <w:bCs/>
        </w:rPr>
        <w:t>2.</w:t>
      </w:r>
      <w:r>
        <w:rPr>
          <w:rFonts w:hint="default"/>
          <w:b/>
          <w:bCs/>
          <w:lang w:val="en-US"/>
        </w:rPr>
        <w:t>3</w:t>
      </w:r>
      <w:r>
        <w:rPr>
          <w:rFonts w:hint="default"/>
          <w:b/>
          <w:bCs/>
          <w:lang w:val="en-US"/>
        </w:rPr>
        <w:tab/>
      </w:r>
      <w:r>
        <w:rPr>
          <w:b/>
          <w:bCs/>
        </w:rPr>
        <w:t xml:space="preserve">Major </w:t>
      </w:r>
      <w:r>
        <w:rPr>
          <w:rFonts w:hint="default"/>
          <w:b/>
          <w:bCs/>
          <w:lang w:val="en-US"/>
        </w:rPr>
        <w:t>C</w:t>
      </w:r>
      <w:r>
        <w:rPr>
          <w:b/>
          <w:bCs/>
        </w:rPr>
        <w:t xml:space="preserve">auses of </w:t>
      </w:r>
      <w:r>
        <w:rPr>
          <w:rFonts w:hint="default"/>
          <w:b/>
          <w:bCs/>
          <w:lang w:val="en-US"/>
        </w:rPr>
        <w:t>C</w:t>
      </w:r>
      <w:r>
        <w:rPr>
          <w:b/>
          <w:bCs/>
        </w:rPr>
        <w:t xml:space="preserve">ustomer </w:t>
      </w:r>
      <w:r>
        <w:rPr>
          <w:rFonts w:hint="default"/>
          <w:b/>
          <w:bCs/>
          <w:lang w:val="en-US"/>
        </w:rPr>
        <w:t>C</w:t>
      </w:r>
      <w:r>
        <w:rPr>
          <w:b/>
          <w:bCs/>
        </w:rPr>
        <w:t xml:space="preserve">hurn in </w:t>
      </w:r>
      <w:r>
        <w:rPr>
          <w:rFonts w:hint="default"/>
          <w:b/>
          <w:bCs/>
          <w:lang w:val="en-US"/>
        </w:rPr>
        <w:t>T</w:t>
      </w:r>
      <w:r>
        <w:rPr>
          <w:b/>
          <w:bCs/>
        </w:rPr>
        <w:t>elecommunications</w:t>
      </w:r>
    </w:p>
    <w:p w14:paraId="2E3DA29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nature and extent of customer churn: the rate at which customers cancel their service with a provider is determined by a host </w:t>
      </w:r>
      <w:r>
        <w:rPr>
          <w:rFonts w:hint="default" w:ascii="Times New Roman" w:hAnsi="Times New Roman" w:cs="Times New Roman"/>
          <w:sz w:val="24"/>
          <w:szCs w:val="24"/>
          <w:lang w:val="en-US"/>
        </w:rPr>
        <w:t xml:space="preserve">of </w:t>
      </w:r>
      <w:r>
        <w:rPr>
          <w:rFonts w:ascii="Times New Roman" w:hAnsi="Times New Roman" w:cs="Times New Roman"/>
          <w:sz w:val="24"/>
          <w:szCs w:val="24"/>
        </w:rPr>
        <w:t>50 preventable factors. Knowledge of these issues is critical</w:t>
      </w:r>
      <w:r>
        <w:rPr>
          <w:rFonts w:hint="default" w:ascii="Times New Roman" w:hAnsi="Times New Roman" w:cs="Times New Roman"/>
          <w:sz w:val="24"/>
          <w:szCs w:val="24"/>
          <w:lang w:val="en-US"/>
        </w:rPr>
        <w:t xml:space="preserve"> and</w:t>
      </w:r>
      <w:r>
        <w:rPr>
          <w:rFonts w:ascii="Times New Roman" w:hAnsi="Times New Roman" w:cs="Times New Roman"/>
          <w:sz w:val="24"/>
          <w:szCs w:val="24"/>
        </w:rPr>
        <w:t xml:space="preserve"> vital to the success of any desires by these telecommunications firms that seek to ‘lock-in’ their customers. Some factors that define customer churn are</w:t>
      </w:r>
      <w:r>
        <w:rPr>
          <w:rFonts w:hint="default" w:ascii="Times New Roman" w:hAnsi="Times New Roman" w:cs="Times New Roman"/>
          <w:sz w:val="24"/>
          <w:szCs w:val="24"/>
          <w:lang w:val="en-US"/>
        </w:rPr>
        <w:t>:</w:t>
      </w:r>
      <w:r>
        <w:rPr>
          <w:rFonts w:ascii="Times New Roman" w:hAnsi="Times New Roman" w:cs="Times New Roman"/>
          <w:sz w:val="24"/>
          <w:szCs w:val="24"/>
        </w:rPr>
        <w:t xml:space="preserve"> </w:t>
      </w:r>
      <w:r>
        <w:rPr>
          <w:rFonts w:hint="default" w:ascii="Times New Roman" w:hAnsi="Times New Roman" w:cs="Times New Roman"/>
          <w:sz w:val="24"/>
          <w:szCs w:val="24"/>
          <w:lang w:val="en-US"/>
        </w:rPr>
        <w:t>s</w:t>
      </w:r>
      <w:r>
        <w:rPr>
          <w:rFonts w:ascii="Times New Roman" w:hAnsi="Times New Roman" w:cs="Times New Roman"/>
          <w:sz w:val="24"/>
          <w:szCs w:val="24"/>
        </w:rPr>
        <w:t>ervice quality, price, and competition among others.</w:t>
      </w:r>
    </w:p>
    <w:p w14:paraId="0D936BD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Service Quality</w:t>
      </w:r>
    </w:p>
    <w:p w14:paraId="6B9D3A5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Owning to this, there is a positivism that directly relates to the quality of service that you deliver as a firm to its customers. It contains different aspects of a network, for instance, network performance, customer support, and service reliability. When service quality is high, customer loyalty is achieved, but in case service quality is low, the customers will left to the competitors.</w:t>
      </w:r>
    </w:p>
    <w:p w14:paraId="09D546D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Reliability forms the core of telecommunication network service delivery in the global economy. Parameters like call drops, low internet speeds and poor network accessibility are some of the causes of perceived customer </w:t>
      </w:r>
      <w:r>
        <w:rPr>
          <w:rFonts w:ascii="Times New Roman" w:hAnsi="Times New Roman" w:cs="Times New Roman"/>
          <w:sz w:val="24"/>
          <w:szCs w:val="24"/>
          <w:lang w:val="en-US"/>
        </w:rPr>
        <w:t>dissatisfaction</w:t>
      </w:r>
      <w:r>
        <w:rPr>
          <w:rFonts w:ascii="Times New Roman" w:hAnsi="Times New Roman" w:cs="Times New Roman"/>
          <w:sz w:val="24"/>
          <w:szCs w:val="24"/>
        </w:rPr>
        <w:t>. From the study conducted by De Bruyn and Lilien in 2018, showed that customers with poor network performance signals exit the network. The overall dependability of the network as well as frequency with which customers are able to connect to the service and the duration of any interruptions all influence customer loyalty.</w:t>
      </w:r>
    </w:p>
    <w:p w14:paraId="560BC1E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Quality of </w:t>
      </w:r>
      <w:r>
        <w:rPr>
          <w:rFonts w:hint="default" w:ascii="Times New Roman" w:hAnsi="Times New Roman" w:cs="Times New Roman"/>
          <w:sz w:val="24"/>
          <w:szCs w:val="24"/>
          <w:lang w:val="en-US"/>
        </w:rPr>
        <w:t>c</w:t>
      </w:r>
      <w:r>
        <w:rPr>
          <w:rFonts w:ascii="Times New Roman" w:hAnsi="Times New Roman" w:cs="Times New Roman"/>
          <w:sz w:val="24"/>
          <w:szCs w:val="24"/>
        </w:rPr>
        <w:t xml:space="preserve">ustomer support equally contribute hugely to churn rates. Customers wish that in case of any difficulties they encounter, they should be served well, fast and with some level of courtesy. This means that where wait time is long, responses are unhelpful or problems unsolved, customer will likely churn. For instance, Yang and Peterson (2014) note that first of all, </w:t>
      </w:r>
      <w:r>
        <w:rPr>
          <w:rFonts w:ascii="Times New Roman" w:hAnsi="Times New Roman" w:cs="Times New Roman"/>
          <w:sz w:val="24"/>
          <w:szCs w:val="24"/>
          <w:lang w:val="en-US"/>
        </w:rPr>
        <w:t>organizations</w:t>
      </w:r>
      <w:r>
        <w:rPr>
          <w:rFonts w:ascii="Times New Roman" w:hAnsi="Times New Roman" w:cs="Times New Roman"/>
          <w:sz w:val="24"/>
          <w:szCs w:val="24"/>
        </w:rPr>
        <w:t xml:space="preserve"> can ensure that superb customer relations can mask the effects of services malperformance. Therefore, proper staffing and training of support staff is important in increasing customer satisfaction and decreasing cancellation rates.</w:t>
      </w:r>
    </w:p>
    <w:p w14:paraId="1C19C6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final aspect relates to the general service reliability, where dependability of services and services continuity is assessed. From customer’s perspective</w:t>
      </w:r>
      <w:r>
        <w:rPr>
          <w:rFonts w:hint="default" w:ascii="Times New Roman" w:hAnsi="Times New Roman" w:cs="Times New Roman"/>
          <w:sz w:val="24"/>
          <w:szCs w:val="24"/>
          <w:lang w:val="en-US"/>
        </w:rPr>
        <w:t>,</w:t>
      </w:r>
      <w:r>
        <w:rPr>
          <w:rFonts w:ascii="Times New Roman" w:hAnsi="Times New Roman" w:cs="Times New Roman"/>
          <w:sz w:val="24"/>
          <w:szCs w:val="24"/>
        </w:rPr>
        <w:t xml:space="preserve"> they do not expect their </w:t>
      </w:r>
      <w:r>
        <w:rPr>
          <w:rFonts w:hint="default" w:ascii="Times New Roman" w:hAnsi="Times New Roman" w:cs="Times New Roman"/>
          <w:sz w:val="24"/>
          <w:szCs w:val="24"/>
          <w:lang w:val="en-US"/>
        </w:rPr>
        <w:t>t</w:t>
      </w:r>
      <w:r>
        <w:rPr>
          <w:rFonts w:ascii="Times New Roman" w:hAnsi="Times New Roman" w:cs="Times New Roman"/>
          <w:sz w:val="24"/>
          <w:szCs w:val="24"/>
        </w:rPr>
        <w:t xml:space="preserve">elecom services </w:t>
      </w:r>
      <w:r>
        <w:rPr>
          <w:rFonts w:hint="default" w:ascii="Times New Roman" w:hAnsi="Times New Roman" w:cs="Times New Roman"/>
          <w:sz w:val="24"/>
          <w:szCs w:val="24"/>
          <w:lang w:val="en-US"/>
        </w:rPr>
        <w:t xml:space="preserve">to </w:t>
      </w:r>
      <w:r>
        <w:rPr>
          <w:rFonts w:ascii="Times New Roman" w:hAnsi="Times New Roman" w:cs="Times New Roman"/>
          <w:sz w:val="24"/>
          <w:szCs w:val="24"/>
        </w:rPr>
        <w:t>be interrupted often. This will translate to higher service reliability, customer satisfaction and loyalty as pointed out by Gerpott and colleagues in their recent article.</w:t>
      </w:r>
    </w:p>
    <w:p w14:paraId="23EBABA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Pricing</w:t>
      </w:r>
    </w:p>
    <w:p w14:paraId="23257DC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Fees structure is another major factor that had affected the customer churn in telecommunications industry. This ranges from the actual cost of the service offered as well as the perceived worth of the money paid, the structure of the billing system as well as the issue of hidden charges. In this sense</w:t>
      </w:r>
      <w:r>
        <w:rPr>
          <w:rFonts w:hint="default" w:ascii="Times New Roman" w:hAnsi="Times New Roman" w:cs="Times New Roman"/>
          <w:sz w:val="24"/>
          <w:szCs w:val="24"/>
          <w:lang w:val="en-US"/>
        </w:rPr>
        <w:t>,</w:t>
      </w:r>
      <w:r>
        <w:rPr>
          <w:rFonts w:ascii="Times New Roman" w:hAnsi="Times New Roman" w:cs="Times New Roman"/>
          <w:sz w:val="24"/>
          <w:szCs w:val="24"/>
        </w:rPr>
        <w:t xml:space="preserve"> while one’s pricing strategy involves getting to the market with relatively low prices more so to price… competitors may charge high prices or cause some customers to switch to other punitive measures such as billing issues may lead to customers moving to other service providers.</w:t>
      </w:r>
    </w:p>
    <w:p w14:paraId="705675F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Customers’ biggest concern has always been the cost of telecommunications services. Chen: Expensive, particularly when compared with other do-it-yourself solutions, and are likely to cause customers to jump ship. Customers look for a way to cut down their costs and get better value for their money especially where they can find a number of providers offering similar products and services. Customers have been also identified by Kim et al. (2021) as being very sensitive to price and ready to switch and find cheaper providers.</w:t>
      </w:r>
    </w:p>
    <w:p w14:paraId="3FF91DB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Ergonomically, or custom, value for money from this perception is equally key. Consumers put a qualitative value that is measured, on the benefits received on one hand against perceived cost on the other. But if they have the impression that the service quality and features do not reflect the cost</w:t>
      </w:r>
      <w:r>
        <w:rPr>
          <w:rFonts w:hint="default" w:ascii="Times New Roman" w:hAnsi="Times New Roman" w:cs="Times New Roman"/>
          <w:sz w:val="24"/>
          <w:szCs w:val="24"/>
          <w:lang w:val="en-US"/>
        </w:rPr>
        <w:t>,</w:t>
      </w:r>
      <w:r>
        <w:rPr>
          <w:rFonts w:ascii="Times New Roman" w:hAnsi="Times New Roman" w:cs="Times New Roman"/>
          <w:sz w:val="24"/>
          <w:szCs w:val="24"/>
        </w:rPr>
        <w:t xml:space="preserve"> they are ready to change their service provider. Maintaining quality service delivery at reasonable costs, acts as a way of optimizing the perceived value which minimizes churn (Bolton et al., 2010).</w:t>
      </w:r>
    </w:p>
    <w:p w14:paraId="52F5AEF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Flat and open billing policies also influence the satisfaction levels and loyalty of the customers and this also indicates that hidden charges are also present. Such events and scenarios are acceptable to customer decadence and may soon make them leave due to alterative billing accepted by the company. Reliability in the accounts records is a critical aspect of carrying out the operations hence a necessity to apply reliable billing procedures. In their article, Smith (2019) confirmed that better communications in relation to pricing and billing are crucial to stepping down churn rates.</w:t>
      </w:r>
    </w:p>
    <w:p w14:paraId="36458655">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Competition</w:t>
      </w:r>
    </w:p>
    <w:p w14:paraId="243F2D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 found that the competition pressure within the context of the telecommunication industry substantially influences the customers’ churn. When there are many providers of similar services as in case with FNB, the customers will easily switch to competitors. It has further pushed companies to work harder at trying to develop new products and services that would help in customer retention in the fiercely competitive market that is being observed.</w:t>
      </w:r>
    </w:p>
    <w:p w14:paraId="26C100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competitors help create customer appeal through relentless advertisement and marketing techniques that include special offers, free trials and additional added services. These offers can sometimes be attractive to the consumer as result, the provider switches providers. According to Bandyopadhyay &amp; Martell, it was revealed by </w:t>
      </w:r>
      <w:r>
        <w:rPr>
          <w:rFonts w:hint="default" w:ascii="Times New Roman" w:hAnsi="Times New Roman" w:cs="Times New Roman"/>
          <w:sz w:val="24"/>
          <w:szCs w:val="24"/>
          <w:lang w:val="en-US"/>
        </w:rPr>
        <w:t>c</w:t>
      </w:r>
      <w:r>
        <w:rPr>
          <w:rFonts w:ascii="Times New Roman" w:hAnsi="Times New Roman" w:cs="Times New Roman"/>
          <w:sz w:val="24"/>
          <w:szCs w:val="24"/>
        </w:rPr>
        <w:t>ompeting promotional strategies that customer turnover is affected. To offset this, there is need for companies to price their products competitively and charge differential value-added services.</w:t>
      </w:r>
    </w:p>
    <w:p w14:paraId="55411F3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Another forecast factor is technological changes as well as the changes in the portfolio of technologies used by competitors. Customers may move to competitors, perhaps to providers who offer different technologies – such as a 5G network or other different, superior internet services compared to that of the current provider. Respondents believe that through technology, it is easier to retain its customers and fight churn by providing the newest services (Wirtz &amp; Lihotzky, 2013).</w:t>
      </w:r>
    </w:p>
    <w:p w14:paraId="3E58345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It automatically can be seen that brand identity and brand reputation are crucial in a competitive market. The last observation: companies, which have loyal customers and positive image, have better chances to retain them. Brand management entails ensuring that the services to be offered are of high quality, there is an efficient quality customer service, and the company sustains good public image. The study by Verhoef et al. (2017) shows that brand loyalty can help </w:t>
      </w:r>
      <w:r>
        <w:rPr>
          <w:rFonts w:ascii="Times New Roman" w:hAnsi="Times New Roman" w:cs="Times New Roman"/>
          <w:sz w:val="24"/>
          <w:szCs w:val="24"/>
          <w:lang w:val="en-US"/>
        </w:rPr>
        <w:t>reduce</w:t>
      </w:r>
      <w:r>
        <w:rPr>
          <w:rFonts w:ascii="Times New Roman" w:hAnsi="Times New Roman" w:cs="Times New Roman"/>
          <w:sz w:val="24"/>
          <w:szCs w:val="24"/>
        </w:rPr>
        <w:t xml:space="preserve"> the churn rates to a considerable extent.</w:t>
      </w:r>
    </w:p>
    <w:p w14:paraId="58DCA48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Other Factors</w:t>
      </w:r>
    </w:p>
    <w:p w14:paraId="23A0AE5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However, there are other factors that assume importance in the telecommunications industry for affecting the customer churn figures apart from service quality, pricing and competition. Such examples of competitive intelligence are customer descriptors, customers’ behavior, and contractual provisions.</w:t>
      </w:r>
    </w:p>
    <w:p w14:paraId="664D8E5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Churn rates tend to be influenced by customer demographics – for example, customers’ age, income and education level. While the above </w:t>
      </w:r>
      <w:r>
        <w:rPr>
          <w:rFonts w:hint="default" w:ascii="Times New Roman" w:hAnsi="Times New Roman" w:cs="Times New Roman"/>
          <w:sz w:val="24"/>
          <w:szCs w:val="24"/>
          <w:lang w:val="en-US"/>
        </w:rPr>
        <w:t xml:space="preserve">are </w:t>
      </w:r>
      <w:r>
        <w:rPr>
          <w:rFonts w:ascii="Times New Roman" w:hAnsi="Times New Roman" w:cs="Times New Roman"/>
          <w:sz w:val="24"/>
          <w:szCs w:val="24"/>
        </w:rPr>
        <w:t>demographic and geographic, some group may have higher expectations than the others and some may need the service in a different way than the other one. For instance, younger audience may consider speed and mobile data as important while the old audience may consider reliability and customer support important. Thus, addressing the specific needs of various groups of the target consumers minimizes churn levels (Ahn et al., 2016).</w:t>
      </w:r>
    </w:p>
    <w:p w14:paraId="485A325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Usage patterns, including the frequency and type of services used, can also influence churn. Customers who heavily rely on telecommunications services for their daily activities are more likely to churn if they experience service disruptions. Conversely, customers with low usage might churn due to perceived lack of value. Analyzing usage patterns can help companies identify at-risk customers and implement targeted retention strategies (Gupta et al., 2016).</w:t>
      </w:r>
    </w:p>
    <w:p w14:paraId="4749F6D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Contractual terms, such as contract length and termination fees, can impact churn. Long-term contracts with high termination fees might deter customers from switching providers, but they can also lead to dissatisfaction if customers feel trapped. Offering flexible contract options and incentives for contract renewals can help improve customer retention (Kim et al., 2021).</w:t>
      </w:r>
    </w:p>
    <w:p w14:paraId="7B8E8724">
      <w:pPr>
        <w:pStyle w:val="3"/>
        <w:spacing w:line="360" w:lineRule="auto"/>
        <w:rPr>
          <w:b/>
          <w:bCs/>
        </w:rPr>
      </w:pPr>
      <w:bookmarkStart w:id="1" w:name="_Toc183163327"/>
      <w:r>
        <w:rPr>
          <w:b/>
          <w:bCs/>
        </w:rPr>
        <w:t>2.</w:t>
      </w:r>
      <w:r>
        <w:rPr>
          <w:rFonts w:hint="default"/>
          <w:b/>
          <w:bCs/>
          <w:lang w:val="en-US"/>
        </w:rPr>
        <w:t>4</w:t>
      </w:r>
      <w:r>
        <w:rPr>
          <w:rFonts w:hint="default"/>
          <w:b/>
          <w:bCs/>
          <w:lang w:val="en-US"/>
        </w:rPr>
        <w:tab/>
      </w:r>
      <w:r>
        <w:rPr>
          <w:b/>
          <w:bCs/>
        </w:rPr>
        <w:t>Traditional Methods for Churn Prediction</w:t>
      </w:r>
      <w:r>
        <w:rPr>
          <w:rFonts w:hint="default"/>
          <w:b/>
          <w:bCs/>
          <w:lang w:val="en-US"/>
        </w:rPr>
        <w:t xml:space="preserve"> -</w:t>
      </w:r>
      <w:r>
        <w:rPr>
          <w:b/>
          <w:bCs/>
        </w:rPr>
        <w:t xml:space="preserve"> Statistical Methods</w:t>
      </w:r>
      <w:bookmarkEnd w:id="1"/>
    </w:p>
    <w:p w14:paraId="2C694F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the telecommunications industry, predicting customer churn is a vital task to help mitigate the loss of customers and improve retention strategies. Traditional statistical methods, such as logistic regression and survival analysis, have been widely used for churn prediction due to their simplicity, interpretability, and effectiveness in handling structured data.</w:t>
      </w:r>
    </w:p>
    <w:p w14:paraId="1E0FF1A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Logistic Regression</w:t>
      </w:r>
    </w:p>
    <w:p w14:paraId="64B6F53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Logistic regression is one of the most commonly used statistical methods for churn prediction. It is a type of regression analysis used for predicting the probability of a binary outcome, such as whether a customer will churn or not. The logistic regression model estimates the relationship between one dependent binary variable and one or more independent variables, which can be categorical or continuous.</w:t>
      </w:r>
    </w:p>
    <w:p w14:paraId="45C9711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main advantage of logistic regression is its simplicity and ease of implementation. It provides coefficients for each predictor variable, which can be interpreted to understand the influence of each factor on the likelihood of churn. For example, if a coefficient for service quality is negative, it indicates that higher service quality reduces the probability of churn. This interpretability makes logistic regression a popular choice for churn prediction models in the telecommunications industry (Hosmer, Lemeshow, and Sturdivant, 2013).</w:t>
      </w:r>
    </w:p>
    <w:p w14:paraId="4466952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Logistic regression models are built using the following steps:</w:t>
      </w:r>
    </w:p>
    <w:p w14:paraId="2E74FD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bookmarkStart w:id="20" w:name="_GoBack"/>
      <w:bookmarkEnd w:id="20"/>
      <w:r>
        <w:rPr>
          <w:rFonts w:ascii="Times New Roman" w:hAnsi="Times New Roman" w:cs="Times New Roman"/>
          <w:b/>
          <w:bCs/>
          <w:sz w:val="24"/>
          <w:szCs w:val="24"/>
        </w:rPr>
        <w:t>Data Collection and Preprocessing:</w:t>
      </w:r>
      <w:r>
        <w:rPr>
          <w:rFonts w:ascii="Times New Roman" w:hAnsi="Times New Roman" w:cs="Times New Roman"/>
          <w:sz w:val="24"/>
          <w:szCs w:val="24"/>
        </w:rPr>
        <w:t xml:space="preserve"> Collect data on customer demographics, service usage patterns, billing information, and other relevant variables. Clean the data to handle missing values, outliers, and inconsistencies.</w:t>
      </w:r>
    </w:p>
    <w:p w14:paraId="5939328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Feature Selection:</w:t>
      </w:r>
      <w:r>
        <w:rPr>
          <w:rFonts w:ascii="Times New Roman" w:hAnsi="Times New Roman" w:cs="Times New Roman"/>
          <w:sz w:val="24"/>
          <w:szCs w:val="24"/>
        </w:rPr>
        <w:t xml:space="preserve"> Identify and select the most relevant features that influence customer churn. This can be done using techniques like correlation analysis, recursive feature elimination, or domain knowledge.</w:t>
      </w:r>
    </w:p>
    <w:p w14:paraId="02555B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Model Training:</w:t>
      </w:r>
      <w:r>
        <w:rPr>
          <w:rFonts w:ascii="Times New Roman" w:hAnsi="Times New Roman" w:cs="Times New Roman"/>
          <w:sz w:val="24"/>
          <w:szCs w:val="24"/>
        </w:rPr>
        <w:t xml:space="preserve"> Split the dataset into training and testing sets. Train the logistic regression model using the training set, and tune the model parameters to achieve the best fit.</w:t>
      </w:r>
    </w:p>
    <w:p w14:paraId="1F9CCAD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Model Evaluation:</w:t>
      </w:r>
      <w:r>
        <w:rPr>
          <w:rFonts w:ascii="Times New Roman" w:hAnsi="Times New Roman" w:cs="Times New Roman"/>
          <w:sz w:val="24"/>
          <w:szCs w:val="24"/>
        </w:rPr>
        <w:t xml:space="preserve"> Evaluate the model's performance using metrics such as accuracy, precision, recall, F1-score, and the area under the ROC curve (AUC-ROC). Validate the model using the testing set to ensure its generalizability.</w:t>
      </w:r>
    </w:p>
    <w:p w14:paraId="20D8AC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One limitation of logistic regression is its assumption of a linear relationship between the independent variables and the log odds of the dependent variable. This assumption may not hold true in all cases, leading to suboptimal performance. Moreover, logistic regression may struggle with multicollinearity, where predictor variables are highly correlated, potentially distorting the estimated coefficients.</w:t>
      </w:r>
    </w:p>
    <w:p w14:paraId="06CE5EB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Survival Analysis</w:t>
      </w:r>
    </w:p>
    <w:p w14:paraId="2F46D0D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Survival analysis, also known as time-to-event analysis, is another powerful statistical method used for churn prediction. Unlike logistic regression, which predicts the probability of churn at a specific point in time, survival analysis models the time until an event occurs, such as customer churn. This method is particularly useful for understanding not only whether a customer will churn, but also when they are likely to churn.</w:t>
      </w:r>
    </w:p>
    <w:p w14:paraId="4DED398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Survival analysis involves several key concepts:</w:t>
      </w:r>
    </w:p>
    <w:p w14:paraId="20C444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Survival Function (S(t)):</w:t>
      </w:r>
      <w:r>
        <w:rPr>
          <w:rFonts w:ascii="Times New Roman" w:hAnsi="Times New Roman" w:cs="Times New Roman"/>
          <w:sz w:val="24"/>
          <w:szCs w:val="24"/>
        </w:rPr>
        <w:t xml:space="preserve"> This function estimates the probability that a customer will survive (not churn) beyond a certain time point t.</w:t>
      </w:r>
    </w:p>
    <w:p w14:paraId="24937A5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Hazard Function (λ(t)):</w:t>
      </w:r>
      <w:r>
        <w:rPr>
          <w:rFonts w:ascii="Times New Roman" w:hAnsi="Times New Roman" w:cs="Times New Roman"/>
          <w:sz w:val="24"/>
          <w:szCs w:val="24"/>
        </w:rPr>
        <w:t xml:space="preserve"> This function estimates the instantaneous rate at which customers are expected to churn at time t, given that they have not churned until that time.</w:t>
      </w:r>
    </w:p>
    <w:p w14:paraId="48C8B5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Cox proportional hazards model is one of the most widely used survival analysis techniques. It models the hazard function as a product of a baseline hazard function and a set of covariates. </w:t>
      </w:r>
    </w:p>
    <w:p w14:paraId="4BD9B9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Cox model does not assume any specific distribution for the survival times, making it a flexible choice for churn prediction. It allows for the estimation of the effect of multiple covariates on the hazard rate, providing insights into the factors that influence customer churn (Cox, 1972).</w:t>
      </w:r>
    </w:p>
    <w:p w14:paraId="7641C63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The steps involved in building a survival analysis model are similar to those for logistic regression:</w:t>
      </w:r>
    </w:p>
    <w:p w14:paraId="545EEC4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Data Collection and Preprocessing:</w:t>
      </w:r>
      <w:r>
        <w:rPr>
          <w:rFonts w:ascii="Times New Roman" w:hAnsi="Times New Roman" w:cs="Times New Roman"/>
          <w:sz w:val="24"/>
          <w:szCs w:val="24"/>
        </w:rPr>
        <w:t xml:space="preserve"> Gather data on customer characteristics and service usage, and preprocess it to handle missing values and outliers.</w:t>
      </w:r>
    </w:p>
    <w:p w14:paraId="589C0D3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Feature Selection:</w:t>
      </w:r>
      <w:r>
        <w:rPr>
          <w:rFonts w:ascii="Times New Roman" w:hAnsi="Times New Roman" w:cs="Times New Roman"/>
          <w:sz w:val="24"/>
          <w:szCs w:val="24"/>
        </w:rPr>
        <w:t xml:space="preserve"> Select relevant features that are expected to influence the time to churn.</w:t>
      </w:r>
    </w:p>
    <w:p w14:paraId="75B4604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Model Training:</w:t>
      </w:r>
      <w:r>
        <w:rPr>
          <w:rFonts w:ascii="Times New Roman" w:hAnsi="Times New Roman" w:cs="Times New Roman"/>
          <w:sz w:val="24"/>
          <w:szCs w:val="24"/>
        </w:rPr>
        <w:t xml:space="preserve"> Train the Cox proportional hazards model using the training dataset. Estimate the coefficients for the covariates and the baseline hazard function.</w:t>
      </w:r>
    </w:p>
    <w:p w14:paraId="23DF824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Model Evaluation:</w:t>
      </w:r>
      <w:r>
        <w:rPr>
          <w:rFonts w:ascii="Times New Roman" w:hAnsi="Times New Roman" w:cs="Times New Roman"/>
          <w:sz w:val="24"/>
          <w:szCs w:val="24"/>
        </w:rPr>
        <w:t xml:space="preserve"> Evaluate the model's performance using metrics such as concordance index (C-index), which measures the model's ability to rank the predicted survival times correctly.</w:t>
      </w:r>
    </w:p>
    <w:p w14:paraId="3D1B281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One advantage of survival analysis is its ability to handle censored data, where the event of interest (churn) has not occurred for some customers by the end of the observation period. This feature allows for the inclusion of all available data in the analysis, improving the robustness of the model (Kleinbaum and Klein, 2012).</w:t>
      </w:r>
    </w:p>
    <w:p w14:paraId="3EC933D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Comparisons and Considerations</w:t>
      </w:r>
    </w:p>
    <w:p w14:paraId="47D7C1A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Both logistic regression and survival analysis offer unique strengths and can be valuable tools for churn prediction in telecommunications. Logistic regression is straightforward, easy to interpret, and effective for binary classification problems. However, it may not capture the time dimension of churn, which can be critical for developing timely intervention strategies.</w:t>
      </w:r>
    </w:p>
    <w:p w14:paraId="3B2D4D7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Survival analysis, on the other hand, explicitly models the time to churn, providing deeper insights into the timing and dynamics of customer churn. This information can help telecommunications companies develop proactive retention strategies, such as offering targeted promotions to customers predicted to churn soon.</w:t>
      </w:r>
    </w:p>
    <w:p w14:paraId="54014B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practice, the choice between logistic regression and survival analysis depends on the specific goals of the churn prediction project and the nature of the available data. For instance, if the primary goal is to understand the factors influencing churn and to classify customers into churners and non-churners, logistic regression may be appropriate. If the goal is to predict when customers are likely to churn and to understand the timing of churn, survival analysis may be more suitable.</w:t>
      </w:r>
    </w:p>
    <w:p w14:paraId="50C9EB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Combining insights from both methods can also be a powerful approach. For example, logistic regression can be used to identify the key drivers of churn, while survival analysis can provide insights into the timing of churn events. By integrating these insights, telecommunications companies can develop comprehensive retention strategies that address both the likelihood and timing of customer churn.</w:t>
      </w:r>
    </w:p>
    <w:p w14:paraId="6D54077D">
      <w:pPr>
        <w:pStyle w:val="3"/>
        <w:spacing w:line="360" w:lineRule="auto"/>
        <w:rPr>
          <w:b/>
          <w:bCs/>
        </w:rPr>
      </w:pPr>
      <w:bookmarkStart w:id="2" w:name="_Toc183163328"/>
      <w:r>
        <w:rPr>
          <w:b/>
          <w:bCs/>
        </w:rPr>
        <w:t>2.</w:t>
      </w:r>
      <w:r>
        <w:rPr>
          <w:rFonts w:hint="default"/>
          <w:b/>
          <w:bCs/>
          <w:lang w:val="en-US"/>
        </w:rPr>
        <w:t>5</w:t>
      </w:r>
      <w:r>
        <w:rPr>
          <w:rFonts w:hint="default"/>
          <w:b/>
          <w:bCs/>
          <w:lang w:val="en-US"/>
        </w:rPr>
        <w:tab/>
      </w:r>
      <w:r>
        <w:rPr>
          <w:b/>
          <w:bCs/>
        </w:rPr>
        <w:t>Limitations of Traditional Methods for Churn Prediction</w:t>
      </w:r>
      <w:bookmarkEnd w:id="2"/>
    </w:p>
    <w:p w14:paraId="5CC069F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While traditional methods like logistic regression and survival analysis have been instrumental in predicting customer churn in the telecommunications industry, they come with several limitations that can affect their accuracy and effectiveness. Understanding these limitations is crucial for improving churn prediction models and developing more sophisticated techniques</w:t>
      </w:r>
    </w:p>
    <w:p w14:paraId="42C2FBA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Logistic Regression Limitations</w:t>
      </w:r>
    </w:p>
    <w:p w14:paraId="4D3E0E7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Assumption of Linearity:</w:t>
      </w:r>
      <w:r>
        <w:rPr>
          <w:rFonts w:ascii="Times New Roman" w:hAnsi="Times New Roman" w:cs="Times New Roman"/>
          <w:sz w:val="24"/>
          <w:szCs w:val="24"/>
        </w:rPr>
        <w:t xml:space="preserve"> Logistic regression assumes a linear relationship between the independent variables and the log odds of the dependent variable. However, real-world relationships are often more complex and non-linear. This linearity assumption can lead to biased estimates and poor model performance when the actual relationship between variables is non-linear (Menard, 2002).</w:t>
      </w:r>
    </w:p>
    <w:p w14:paraId="60BEA7C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Handling Multicollinearity:</w:t>
      </w:r>
      <w:r>
        <w:rPr>
          <w:rFonts w:ascii="Times New Roman" w:hAnsi="Times New Roman" w:cs="Times New Roman"/>
          <w:sz w:val="24"/>
          <w:szCs w:val="24"/>
        </w:rPr>
        <w:t xml:space="preserve"> Multicollinearity occurs when independent variables are highly correlated with each other, which can distort the estimated coefficients in a logistic regression model. High multicollinearity makes it difficult to determine the individual effect of each predictor variable on the likelihood of churn. This can lead to unreliable and unstable estimates, reducing the model's interpretability and predictive power (Allison, 2012).</w:t>
      </w:r>
    </w:p>
    <w:p w14:paraId="0D384DE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Sensitivity to Outliers:</w:t>
      </w:r>
      <w:r>
        <w:rPr>
          <w:rFonts w:ascii="Times New Roman" w:hAnsi="Times New Roman" w:cs="Times New Roman"/>
          <w:sz w:val="24"/>
          <w:szCs w:val="24"/>
        </w:rPr>
        <w:t xml:space="preserve"> Logistic regression models are sensitive to outliers, which can disproportionately influence the model's coefficients and predictions. Outliers can arise from data entry errors, unusual customer behavior, or rare events. Without proper handling of outliers, the model's performance can degrade, leading to inaccurate predictions (Field, 2013).</w:t>
      </w:r>
    </w:p>
    <w:p w14:paraId="44103B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Feature Engineering:</w:t>
      </w:r>
      <w:r>
        <w:rPr>
          <w:rFonts w:ascii="Times New Roman" w:hAnsi="Times New Roman" w:cs="Times New Roman"/>
          <w:sz w:val="24"/>
          <w:szCs w:val="24"/>
        </w:rPr>
        <w:t xml:space="preserve"> Logistic regression requires extensive feature engineering to transform raw data into meaningful predictors. This process involves creating interaction terms, polynomial terms, and other transformations to capture complex relationships. However, feature engineering can be time-consuming, requires domain expertise, and may not always capture all the relevant patterns in the data (James et al., 2013).</w:t>
      </w:r>
    </w:p>
    <w:p w14:paraId="3DBA2A8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b/>
          <w:bCs/>
          <w:sz w:val="24"/>
          <w:szCs w:val="24"/>
        </w:rPr>
        <w:t>Lack of Time Dimension:</w:t>
      </w:r>
      <w:r>
        <w:rPr>
          <w:rFonts w:ascii="Times New Roman" w:hAnsi="Times New Roman" w:cs="Times New Roman"/>
          <w:sz w:val="24"/>
          <w:szCs w:val="24"/>
        </w:rPr>
        <w:t xml:space="preserve"> Logistic regression typically provides a static prediction of whether a customer will churn, without considering the time dimension. It does not account for the timing of churn events, which can be crucial for developing timely intervention strategies. This limitation makes it challenging to prioritize customers based on their risk of imminent churn (Hosmer, Lemeshow, and Sturdivant, 2013).</w:t>
      </w:r>
    </w:p>
    <w:p w14:paraId="29FE2AFA">
      <w:pPr>
        <w:pStyle w:val="3"/>
        <w:spacing w:line="360" w:lineRule="auto"/>
        <w:rPr>
          <w:b/>
          <w:bCs/>
        </w:rPr>
      </w:pPr>
      <w:bookmarkStart w:id="3" w:name="_Toc183163329"/>
      <w:r>
        <w:rPr>
          <w:b/>
          <w:bCs/>
        </w:rPr>
        <w:t>2.</w:t>
      </w:r>
      <w:r>
        <w:rPr>
          <w:rFonts w:hint="default"/>
          <w:b/>
          <w:bCs/>
          <w:lang w:val="en-US"/>
        </w:rPr>
        <w:t>6</w:t>
      </w:r>
      <w:r>
        <w:rPr>
          <w:rFonts w:hint="default"/>
          <w:b/>
          <w:bCs/>
          <w:lang w:val="en-US"/>
        </w:rPr>
        <w:tab/>
      </w:r>
      <w:r>
        <w:rPr>
          <w:rFonts w:hint="default"/>
          <w:b/>
          <w:bCs/>
          <w:lang w:val="en-US"/>
        </w:rPr>
        <w:t xml:space="preserve">Role of </w:t>
      </w:r>
      <w:r>
        <w:rPr>
          <w:b/>
          <w:bCs/>
        </w:rPr>
        <w:t>Machine Learning in Churn Prediction</w:t>
      </w:r>
      <w:bookmarkEnd w:id="3"/>
    </w:p>
    <w:p w14:paraId="16C3799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Machine learning (ML) is a subfield of artificial intelligence (AI) that involves the development of algorithms and statistical models that enable computers to perform tasks without explicit instructions. Instead, these systems learn from data, identify patterns, and make decisions based on the data they are trained on. The primary goal of machine learning is to build models that can generalize well to new, unseen data, thereby providing accurate predictions or classifications.</w:t>
      </w:r>
    </w:p>
    <w:p w14:paraId="641B3A6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Machine learning algorithms can be broadly classified into three categories:</w:t>
      </w:r>
    </w:p>
    <w:p w14:paraId="039BE7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Supervised Learning:</w:t>
      </w:r>
      <w:r>
        <w:rPr>
          <w:rFonts w:ascii="Times New Roman" w:hAnsi="Times New Roman" w:cs="Times New Roman"/>
          <w:sz w:val="24"/>
          <w:szCs w:val="24"/>
        </w:rPr>
        <w:t xml:space="preserve"> In this approach, the algorithm is trained on a labeled dataset, which means the input data is paired with the correct output. The model learns to map inputs to outputs by minimizing the error between its predictions and the actual labels. Examples of supervised learning algorithms include decision trees, support vector machines, and neural networks.</w:t>
      </w:r>
    </w:p>
    <w:p w14:paraId="0F012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Unsupervised Learning:</w:t>
      </w:r>
      <w:r>
        <w:rPr>
          <w:rFonts w:ascii="Times New Roman" w:hAnsi="Times New Roman" w:cs="Times New Roman"/>
          <w:sz w:val="24"/>
          <w:szCs w:val="24"/>
        </w:rPr>
        <w:t xml:space="preserve"> Unlike supervised learning, unsupervised learning algorithms are trained on data without labeled responses. The goal is to uncover hidden patterns or structures within the data. Common unsupervised learning techniques include clustering (e.g., K-means clustering) and dimensionality reduction (e.g., principal component analysis).</w:t>
      </w:r>
    </w:p>
    <w:p w14:paraId="3B2735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Reinforcement Learning:</w:t>
      </w:r>
      <w:r>
        <w:rPr>
          <w:rFonts w:ascii="Times New Roman" w:hAnsi="Times New Roman" w:cs="Times New Roman"/>
          <w:sz w:val="24"/>
          <w:szCs w:val="24"/>
        </w:rPr>
        <w:t xml:space="preserve"> In reinforcement learning, an agent learns to make decisions by interacting with an environment. The agent receives feedback in the form of rewards or penalties based on its actions and aims to maximize cumulative rewards over time. This approach is often used in applications such as game playing, robotics, and autonomous driving.</w:t>
      </w:r>
    </w:p>
    <w:p w14:paraId="6A2B49C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telecommunications industry, predicting customer churn is a critical task for maintaining profitability and customer satisfaction. Traditional statistical methods, while useful, have limitations that can be addressed by machine learning techniques. </w:t>
      </w:r>
      <w:r>
        <w:rPr>
          <w:rFonts w:ascii="Times New Roman" w:hAnsi="Times New Roman" w:cs="Times New Roman"/>
          <w:b/>
          <w:bCs/>
          <w:sz w:val="24"/>
          <w:szCs w:val="24"/>
        </w:rPr>
        <w:t>Machine learning offers several advantages in churn prediction:</w:t>
      </w:r>
    </w:p>
    <w:p w14:paraId="19BB370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Handling Large and Complex Data:</w:t>
      </w:r>
      <w:r>
        <w:rPr>
          <w:rFonts w:ascii="Times New Roman" w:hAnsi="Times New Roman" w:cs="Times New Roman"/>
          <w:sz w:val="24"/>
          <w:szCs w:val="24"/>
        </w:rPr>
        <w:t xml:space="preserve"> Telecommunications companies generate vast amounts of data from various sources, including customer demographics, call detail records, service usage patterns, billing information, and customer support interactions. Machine learning algorithms can process and analyze these large, complex datasets more effectively than traditional methods, uncovering intricate patterns and relationships that may not be apparent through simple statistical analysis (Provost and Fawcett, 2013).</w:t>
      </w:r>
    </w:p>
    <w:p w14:paraId="3E3A130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Improved Predictive Accuracy:</w:t>
      </w:r>
      <w:r>
        <w:rPr>
          <w:rFonts w:ascii="Times New Roman" w:hAnsi="Times New Roman" w:cs="Times New Roman"/>
          <w:sz w:val="24"/>
          <w:szCs w:val="24"/>
        </w:rPr>
        <w:t xml:space="preserve"> Machine learning models, particularly those using ensemble methods and deep learning, often achieve higher predictive accuracy compared to traditional methods. Techniques such as random forests, gradient boosting machines, and neural networks can capture non-linear relationships and interactions between variables, leading to more accurate churn predictions (Breiman, 2001).</w:t>
      </w:r>
    </w:p>
    <w:p w14:paraId="54F8E27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Adaptability and Scalability:</w:t>
      </w:r>
      <w:r>
        <w:rPr>
          <w:rFonts w:ascii="Times New Roman" w:hAnsi="Times New Roman" w:cs="Times New Roman"/>
          <w:sz w:val="24"/>
          <w:szCs w:val="24"/>
        </w:rPr>
        <w:t xml:space="preserve"> Machine learning models can adapt to changing customer behavior and market conditions. By continuously updating models with new data, telecommunications companies can maintain the relevance and accuracy of their churn predictions. Additionally, machine learning algorithms can be scaled to handle the growing volume of data, making them suitable for real-time churn prediction and decision-making (Domingos, 2012).</w:t>
      </w:r>
    </w:p>
    <w:p w14:paraId="6B13B5E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Automated Feature Engineering:</w:t>
      </w:r>
      <w:r>
        <w:rPr>
          <w:rFonts w:ascii="Times New Roman" w:hAnsi="Times New Roman" w:cs="Times New Roman"/>
          <w:sz w:val="24"/>
          <w:szCs w:val="24"/>
        </w:rPr>
        <w:t xml:space="preserve"> Feature engineering, the process of creating new features from raw data to improve model performance, is a critical step in building predictive models. Machine learning algorithms, particularly deep learning models, can automatically learn relevant features from raw data, reducing the need for manual feature engineering and enabling the discovery of complex, high-dimensional patterns (LeCun, Bengio, and Hinton, 2015).</w:t>
      </w:r>
    </w:p>
    <w:p w14:paraId="6E37641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b/>
          <w:bCs/>
          <w:sz w:val="24"/>
          <w:szCs w:val="24"/>
        </w:rPr>
        <w:t>Enhanced Interpretability:</w:t>
      </w:r>
      <w:r>
        <w:rPr>
          <w:rFonts w:ascii="Times New Roman" w:hAnsi="Times New Roman" w:cs="Times New Roman"/>
          <w:sz w:val="24"/>
          <w:szCs w:val="24"/>
        </w:rPr>
        <w:t xml:space="preserve"> While some machine learning models, such as deep neural networks, are often considered "black boxes" due to their complexity, recent advances have improved their interpretability. Techniques like </w:t>
      </w:r>
      <w:r>
        <w:rPr>
          <w:rFonts w:ascii="Times New Roman" w:hAnsi="Times New Roman" w:cs="Times New Roman"/>
          <w:i w:val="0"/>
          <w:iCs w:val="0"/>
          <w:sz w:val="24"/>
          <w:szCs w:val="24"/>
        </w:rPr>
        <w:t xml:space="preserve">SHAP </w:t>
      </w:r>
      <w:r>
        <w:rPr>
          <w:rFonts w:ascii="Times New Roman" w:hAnsi="Times New Roman" w:cs="Times New Roman"/>
          <w:i/>
          <w:iCs/>
          <w:sz w:val="24"/>
          <w:szCs w:val="24"/>
        </w:rPr>
        <w:t>(SHapley Additive exPlanations)</w:t>
      </w:r>
      <w:r>
        <w:rPr>
          <w:rFonts w:ascii="Times New Roman" w:hAnsi="Times New Roman" w:cs="Times New Roman"/>
          <w:sz w:val="24"/>
          <w:szCs w:val="24"/>
        </w:rPr>
        <w:t xml:space="preserve"> and </w:t>
      </w:r>
      <w:r>
        <w:rPr>
          <w:rFonts w:ascii="Times New Roman" w:hAnsi="Times New Roman" w:cs="Times New Roman"/>
          <w:i w:val="0"/>
          <w:iCs w:val="0"/>
          <w:sz w:val="24"/>
          <w:szCs w:val="24"/>
        </w:rPr>
        <w:t xml:space="preserve">LIME </w:t>
      </w:r>
      <w:r>
        <w:rPr>
          <w:rFonts w:ascii="Times New Roman" w:hAnsi="Times New Roman" w:cs="Times New Roman"/>
          <w:i/>
          <w:iCs/>
          <w:sz w:val="24"/>
          <w:szCs w:val="24"/>
        </w:rPr>
        <w:t>(Local Interpretable Model-agnostic Explanations)</w:t>
      </w:r>
      <w:r>
        <w:rPr>
          <w:rFonts w:ascii="Times New Roman" w:hAnsi="Times New Roman" w:cs="Times New Roman"/>
          <w:sz w:val="24"/>
          <w:szCs w:val="24"/>
        </w:rPr>
        <w:t xml:space="preserve"> provide insights into the contributions of individual features to model predictions, helping telecommunications companies understand the factors driving customer churn (Lundberg and Lee, 2017).</w:t>
      </w:r>
    </w:p>
    <w:p w14:paraId="5E07D7A4">
      <w:pPr>
        <w:pStyle w:val="3"/>
        <w:spacing w:line="360" w:lineRule="auto"/>
        <w:rPr>
          <w:b/>
          <w:bCs/>
        </w:rPr>
      </w:pPr>
      <w:bookmarkStart w:id="4" w:name="_Toc183163330"/>
      <w:r>
        <w:rPr>
          <w:b/>
          <w:bCs/>
        </w:rPr>
        <w:t>2.</w:t>
      </w:r>
      <w:r>
        <w:rPr>
          <w:rFonts w:hint="default"/>
          <w:b/>
          <w:bCs/>
          <w:lang w:val="en-US"/>
        </w:rPr>
        <w:t>6</w:t>
      </w:r>
      <w:r>
        <w:rPr>
          <w:b/>
          <w:bCs/>
        </w:rPr>
        <w:t>.1</w:t>
      </w:r>
      <w:r>
        <w:rPr>
          <w:rFonts w:hint="default"/>
          <w:b/>
          <w:bCs/>
          <w:lang w:val="en-US"/>
        </w:rPr>
        <w:tab/>
      </w:r>
      <w:r>
        <w:rPr>
          <w:b/>
          <w:bCs/>
        </w:rPr>
        <w:t>Applications of Machine Learning in Churn Prediction</w:t>
      </w:r>
      <w:bookmarkEnd w:id="4"/>
    </w:p>
    <w:p w14:paraId="6DE8903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Machine learning techniques can be applied to churn prediction in various ways, enhancing the ability of telecommunications companies to identify at-risk customers and implement effective retention strategies. Some common machine learning approaches for churn prediction include:</w:t>
      </w:r>
    </w:p>
    <w:p w14:paraId="0DF1351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Decision Trees and Random Forests:</w:t>
      </w:r>
      <w:r>
        <w:rPr>
          <w:rFonts w:ascii="Times New Roman" w:hAnsi="Times New Roman" w:cs="Times New Roman"/>
          <w:sz w:val="24"/>
          <w:szCs w:val="24"/>
        </w:rPr>
        <w:t xml:space="preserve"> Decision trees are simple, interpretable models that split data into branches based on feature values, ultimately leading to a prediction. Random forests, an ensemble method, combine multiple decision trees to improve predictive accuracy and reduce </w:t>
      </w:r>
      <w:r>
        <w:rPr>
          <w:rFonts w:ascii="Times New Roman" w:hAnsi="Times New Roman" w:cs="Times New Roman"/>
          <w:sz w:val="24"/>
          <w:szCs w:val="24"/>
          <w:lang w:val="en-US"/>
        </w:rPr>
        <w:t>over-fitting</w:t>
      </w:r>
      <w:r>
        <w:rPr>
          <w:rFonts w:ascii="Times New Roman" w:hAnsi="Times New Roman" w:cs="Times New Roman"/>
          <w:sz w:val="24"/>
          <w:szCs w:val="24"/>
        </w:rPr>
        <w:t>. These models are effective for churn prediction due to their ability to handle both categorical and numerical data and capture non-linear relationships (Breiman, 2001).</w:t>
      </w:r>
    </w:p>
    <w:p w14:paraId="798EACA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Gradient Boosting Machines (GBM):</w:t>
      </w:r>
      <w:r>
        <w:rPr>
          <w:rFonts w:ascii="Times New Roman" w:hAnsi="Times New Roman" w:cs="Times New Roman"/>
          <w:sz w:val="24"/>
          <w:szCs w:val="24"/>
        </w:rPr>
        <w:t xml:space="preserve"> GBM is another ensemble technique that builds a series of decision trees sequentially, with each tree correcting the errors of the previous ones. This method often achieves high predictive performance and is robust to overfitting. Popular implementations of GBM include XGBoost and LightGBM, which are widely used in churn prediction tasks (Chen and Guestrin, 2016).</w:t>
      </w:r>
    </w:p>
    <w:p w14:paraId="7182D2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Support Vector Machines (SVM):</w:t>
      </w:r>
      <w:r>
        <w:rPr>
          <w:rFonts w:ascii="Times New Roman" w:hAnsi="Times New Roman" w:cs="Times New Roman"/>
          <w:sz w:val="24"/>
          <w:szCs w:val="24"/>
        </w:rPr>
        <w:t xml:space="preserve"> SVM is a powerful classification algorithm that finds the optimal hyperplane separating different classes in the feature space. SVMs are effective in high-dimensional spaces and can handle non-linear decision boundaries using kernel functions. This makes them suitable for churn prediction, where customer behavior patterns can be complex and multi-dimensional (Cortes and Vapnik, 1995).</w:t>
      </w:r>
    </w:p>
    <w:p w14:paraId="42D30D5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Neural Networks and Deep Learning:</w:t>
      </w:r>
      <w:r>
        <w:rPr>
          <w:rFonts w:ascii="Times New Roman" w:hAnsi="Times New Roman" w:cs="Times New Roman"/>
          <w:sz w:val="24"/>
          <w:szCs w:val="24"/>
        </w:rPr>
        <w:t xml:space="preserve"> Neural networks, particularly deep learning models, have shown great promise in churn prediction due to their ability to automatically learn hierarchical feature representations from raw data. Deep learning models, such as convolutional neural networks (CNNs) and recurrent neural networks (RNNs), can capture temporal and spatial patterns in customer data, leading to more accurate churn predictions. However, these models require large amounts of data and computational resources for training (LeCun, Bengio, and Hinton, 2015).</w:t>
      </w:r>
    </w:p>
    <w:p w14:paraId="35B4628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b/>
          <w:bCs/>
          <w:sz w:val="24"/>
          <w:szCs w:val="24"/>
        </w:rPr>
        <w:t>Clustering and Anomaly Detection:</w:t>
      </w:r>
      <w:r>
        <w:rPr>
          <w:rFonts w:ascii="Times New Roman" w:hAnsi="Times New Roman" w:cs="Times New Roman"/>
          <w:sz w:val="24"/>
          <w:szCs w:val="24"/>
        </w:rPr>
        <w:t xml:space="preserve"> Unsupervised learning techniques, such as clustering and anomaly detection, can also be useful in churn prediction. Clustering algorithms, like K-means, can segment customers into groups with similar behavior patterns, helping identify high-risk segments. Anomaly detection methods can identify unusual customer behavior that may indicate an increased risk of churn. These techniques provide valuable insights that can complement supervised learning models (Aggarwal, 2015).</w:t>
      </w:r>
    </w:p>
    <w:p w14:paraId="6435BD25">
      <w:pPr>
        <w:pStyle w:val="3"/>
        <w:spacing w:line="360" w:lineRule="auto"/>
        <w:rPr>
          <w:b/>
          <w:bCs/>
        </w:rPr>
      </w:pPr>
      <w:bookmarkStart w:id="5" w:name="_Toc183163331"/>
      <w:r>
        <w:rPr>
          <w:b/>
          <w:bCs/>
        </w:rPr>
        <w:t>2.</w:t>
      </w:r>
      <w:r>
        <w:rPr>
          <w:rFonts w:hint="default"/>
          <w:b/>
          <w:bCs/>
          <w:lang w:val="en-US"/>
        </w:rPr>
        <w:t>7</w:t>
      </w:r>
      <w:r>
        <w:rPr>
          <w:rFonts w:hint="default"/>
          <w:b/>
          <w:bCs/>
          <w:lang w:val="en-US"/>
        </w:rPr>
        <w:tab/>
      </w:r>
      <w:r>
        <w:rPr>
          <w:b/>
          <w:bCs/>
        </w:rPr>
        <w:t>Types of Machine Learning Models</w:t>
      </w:r>
      <w:bookmarkEnd w:id="5"/>
    </w:p>
    <w:p w14:paraId="7CA6334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Machine learning (ML) encompasses a variety of techniques and algorithms that enable computers to learn from data and make decisions. These techniques can be broadly categorized into three main types: supervised learning, unsupervised learning, and reinforcement learning. Each type of machine learning model has distinct characteristics and is suited to different types of tasks and data structures.</w:t>
      </w:r>
    </w:p>
    <w:p w14:paraId="0F0AB1F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Supervised Learning</w:t>
      </w:r>
    </w:p>
    <w:p w14:paraId="2859416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Supervised learning involves training a model on a labeled dataset, where each training example is paired with an output label. The goal is for the model to learn a mapping from inputs to outputs and make accurate predictions on new, unseen data.</w:t>
      </w:r>
    </w:p>
    <w:p w14:paraId="032E872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Linear Regression:</w:t>
      </w:r>
      <w:r>
        <w:rPr>
          <w:rFonts w:ascii="Times New Roman" w:hAnsi="Times New Roman" w:cs="Times New Roman"/>
          <w:sz w:val="24"/>
          <w:szCs w:val="24"/>
        </w:rPr>
        <w:t xml:space="preserve"> Used for predicting a continuous output, linear regression models the relationship between the dependent variable and one or more independent variables by fitting a linear equation to observed data. For example, predicting customer lifetime value based on historical spending data.</w:t>
      </w:r>
    </w:p>
    <w:p w14:paraId="2B0487C4">
      <w:pPr>
        <w:spacing w:after="0" w:line="360" w:lineRule="auto"/>
        <w:jc w:val="both"/>
        <w:rPr>
          <w:rFonts w:ascii="Times New Roman" w:hAnsi="Times New Roman" w:cs="Times New Roman"/>
          <w:sz w:val="24"/>
          <w:szCs w:val="24"/>
        </w:rPr>
      </w:pPr>
    </w:p>
    <w:p w14:paraId="67D92971">
      <w:pPr>
        <w:spacing w:after="0" w:line="360" w:lineRule="auto"/>
        <w:jc w:val="both"/>
        <w:rPr>
          <w:rFonts w:ascii="Times New Roman" w:hAnsi="Times New Roman" w:cs="Times New Roman"/>
          <w:sz w:val="24"/>
          <w:szCs w:val="24"/>
        </w:rPr>
      </w:pPr>
    </w:p>
    <w:p w14:paraId="1117D096">
      <w:pPr>
        <w:spacing w:after="0" w:line="360" w:lineRule="auto"/>
        <w:jc w:val="center"/>
        <w:rPr>
          <w:rFonts w:ascii="Times New Roman" w:hAnsi="Times New Roman" w:cs="Times New Roman"/>
          <w:sz w:val="24"/>
          <w:szCs w:val="24"/>
        </w:rPr>
      </w:pPr>
      <w:r>
        <w:rPr>
          <w:rFonts w:ascii="Times New Roman" w:hAnsi="Times New Roman" w:cs="Times New Roman"/>
          <w:sz w:val="24"/>
          <w:szCs w:val="24"/>
          <w14:ligatures w14:val="standardContextual"/>
        </w:rPr>
        <w:drawing>
          <wp:inline distT="0" distB="0" distL="0" distR="0">
            <wp:extent cx="5731510" cy="3969385"/>
            <wp:effectExtent l="0" t="0" r="2540" b="12065"/>
            <wp:docPr id="128904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45316"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731510" cy="3969385"/>
                    </a:xfrm>
                    <a:prstGeom prst="rect">
                      <a:avLst/>
                    </a:prstGeom>
                  </pic:spPr>
                </pic:pic>
              </a:graphicData>
            </a:graphic>
          </wp:inline>
        </w:drawing>
      </w:r>
    </w:p>
    <w:p w14:paraId="59A9B99F">
      <w:pPr>
        <w:pStyle w:val="5"/>
        <w:bidi w:val="0"/>
        <w:spacing w:line="360" w:lineRule="auto"/>
        <w:jc w:val="center"/>
      </w:pPr>
      <w:bookmarkStart w:id="6" w:name="_Hlk184217147"/>
      <w:r>
        <w:t>Fig</w:t>
      </w:r>
      <w:r>
        <w:rPr>
          <w:rFonts w:hint="default"/>
          <w:lang w:val="en-US"/>
        </w:rPr>
        <w:t xml:space="preserve">ure 2.7 </w:t>
      </w:r>
      <w:r>
        <w:t>Linear Regression Model</w:t>
      </w:r>
    </w:p>
    <w:bookmarkEnd w:id="6"/>
    <w:p w14:paraId="5F42EC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Logistic Regression:</w:t>
      </w:r>
      <w:r>
        <w:rPr>
          <w:rFonts w:ascii="Times New Roman" w:hAnsi="Times New Roman" w:cs="Times New Roman"/>
          <w:sz w:val="24"/>
          <w:szCs w:val="24"/>
        </w:rPr>
        <w:t xml:space="preserve"> Used for binary classification problems, logistic regression models the probability of a binary outcome based on one or more predictor variables. It is commonly used in churn prediction to estimate the likelihood that a customer will leave the service.</w:t>
      </w:r>
    </w:p>
    <w:p w14:paraId="256ECE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Decision Trees:</w:t>
      </w:r>
      <w:r>
        <w:rPr>
          <w:rFonts w:ascii="Times New Roman" w:hAnsi="Times New Roman" w:cs="Times New Roman"/>
          <w:sz w:val="24"/>
          <w:szCs w:val="24"/>
        </w:rPr>
        <w:t xml:space="preserve"> These models split the data into subsets based on the value of input features, creating a tree-like structure. Each node represents a feature, each branch represents a decision rule, and each leaf represents an outcome. Decision trees are intuitive and easy to interpret.</w:t>
      </w:r>
    </w:p>
    <w:p w14:paraId="270585A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Random Forests:</w:t>
      </w:r>
      <w:r>
        <w:rPr>
          <w:rFonts w:ascii="Times New Roman" w:hAnsi="Times New Roman" w:cs="Times New Roman"/>
          <w:sz w:val="24"/>
          <w:szCs w:val="24"/>
        </w:rPr>
        <w:t xml:space="preserve"> An ensemble method that combines multiple decision trees to improve predictive accuracy and control </w:t>
      </w:r>
      <w:r>
        <w:rPr>
          <w:rFonts w:ascii="Times New Roman" w:hAnsi="Times New Roman" w:cs="Times New Roman"/>
          <w:sz w:val="24"/>
          <w:szCs w:val="24"/>
          <w:lang w:val="en-US"/>
        </w:rPr>
        <w:t>over-fitting</w:t>
      </w:r>
      <w:r>
        <w:rPr>
          <w:rFonts w:ascii="Times New Roman" w:hAnsi="Times New Roman" w:cs="Times New Roman"/>
          <w:sz w:val="24"/>
          <w:szCs w:val="24"/>
        </w:rPr>
        <w:t>. By aggregating the predictions of many trees, random forests produce more robust and reliable predictions.</w:t>
      </w:r>
    </w:p>
    <w:p w14:paraId="19E662C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b/>
          <w:bCs/>
          <w:sz w:val="24"/>
          <w:szCs w:val="24"/>
        </w:rPr>
        <w:t>Support Vector Machines (SVMs):</w:t>
      </w:r>
      <w:r>
        <w:rPr>
          <w:rFonts w:ascii="Times New Roman" w:hAnsi="Times New Roman" w:cs="Times New Roman"/>
          <w:sz w:val="24"/>
          <w:szCs w:val="24"/>
        </w:rPr>
        <w:t xml:space="preserve"> SVMs find the optimal hyperplane that separates data points of different classes in a high-dimensional space. They are effective in high-dimensional spaces and can handle non-linear decision boundaries using kernel functions.</w:t>
      </w:r>
    </w:p>
    <w:p w14:paraId="3667CB0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r>
        <w:rPr>
          <w:rFonts w:ascii="Times New Roman" w:hAnsi="Times New Roman" w:cs="Times New Roman"/>
          <w:b/>
          <w:bCs/>
          <w:sz w:val="24"/>
          <w:szCs w:val="24"/>
        </w:rPr>
        <w:t>Neural Networks:</w:t>
      </w:r>
      <w:r>
        <w:rPr>
          <w:rFonts w:ascii="Times New Roman" w:hAnsi="Times New Roman" w:cs="Times New Roman"/>
          <w:sz w:val="24"/>
          <w:szCs w:val="24"/>
        </w:rPr>
        <w:t xml:space="preserve"> Comprising layers of interconnected nodes, neural networks are particularly powerful for capturing complex relationships in data. They are the foundation of deep learning models, which have achieved state-of-the-art performance in tasks such as image and speech recognition.</w:t>
      </w:r>
    </w:p>
    <w:p w14:paraId="46E48C8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Unsupervised Learning</w:t>
      </w:r>
    </w:p>
    <w:p w14:paraId="48EF1D3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Unsupervised learning deals with unlabeled data, aiming to uncover hidden patterns or structures without explicit output labels. This type of learning is particularly useful for exploratory data analysis and dimensionality reduction.</w:t>
      </w:r>
    </w:p>
    <w:p w14:paraId="18406D1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Clustering:</w:t>
      </w:r>
      <w:r>
        <w:rPr>
          <w:rFonts w:ascii="Times New Roman" w:hAnsi="Times New Roman" w:cs="Times New Roman"/>
          <w:sz w:val="24"/>
          <w:szCs w:val="24"/>
        </w:rPr>
        <w:t xml:space="preserve"> Algorithms like K-means, hierarchical clustering, and DBSCAN group data points into clusters based on similarity. Clustering can reveal natural groupings in the data, such as customer segments with similar behavior patterns.</w:t>
      </w:r>
    </w:p>
    <w:p w14:paraId="7AA7033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Dimensionality Reduction:</w:t>
      </w:r>
      <w:r>
        <w:rPr>
          <w:rFonts w:ascii="Times New Roman" w:hAnsi="Times New Roman" w:cs="Times New Roman"/>
          <w:sz w:val="24"/>
          <w:szCs w:val="24"/>
        </w:rPr>
        <w:t xml:space="preserve"> Techniques like Principal Component Analysis (PCA) and t-Distributed Stochastic Neighbor Embedding (t-SNE) reduce the number of features in a dataset while preserving its essential structure. This is useful for visualizing high-dimensional data and mitigating the curse of dimensionality.</w:t>
      </w:r>
    </w:p>
    <w:p w14:paraId="743273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Association Rule Learning:</w:t>
      </w:r>
      <w:r>
        <w:rPr>
          <w:rFonts w:ascii="Times New Roman" w:hAnsi="Times New Roman" w:cs="Times New Roman"/>
          <w:sz w:val="24"/>
          <w:szCs w:val="24"/>
        </w:rPr>
        <w:t xml:space="preserve"> Methods like the Apriori algorithm and Eclat identify interesting relationships between variables in large datasets. These rules can be used for market basket analysis to discover items frequently bought together.</w:t>
      </w:r>
    </w:p>
    <w:p w14:paraId="4E7A43D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Anomaly Detection:</w:t>
      </w:r>
      <w:r>
        <w:rPr>
          <w:rFonts w:ascii="Times New Roman" w:hAnsi="Times New Roman" w:cs="Times New Roman"/>
          <w:sz w:val="24"/>
          <w:szCs w:val="24"/>
        </w:rPr>
        <w:t xml:space="preserve"> Unsupervised methods can identify unusual data points that do not fit the general pattern of the dataset. Techniques such as isolation forests and autoencoders are used for fraud detection and identifying rare events.</w:t>
      </w:r>
    </w:p>
    <w:p w14:paraId="438A7B7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Reinforcement Learning</w:t>
      </w:r>
    </w:p>
    <w:p w14:paraId="32B003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Reinforcement learning (RL) is a type of machine learning where an agent learns to make decisions by interacting with an environment. The agent receives feedback in the form of rewards or penalties and aims to maximize the cumulative reward over time. This approach is inspired by behavioral psychology and is well-suited for sequential decision-making problems.</w:t>
      </w:r>
    </w:p>
    <w:p w14:paraId="258C2C4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Markov Decision Processes (MDPs):</w:t>
      </w:r>
      <w:r>
        <w:rPr>
          <w:rFonts w:ascii="Times New Roman" w:hAnsi="Times New Roman" w:cs="Times New Roman"/>
          <w:sz w:val="24"/>
          <w:szCs w:val="24"/>
        </w:rPr>
        <w:t xml:space="preserve"> MDPs provide a mathematical framework for modeling decision-making in environments where outcomes are partly random and partly under the control of the decision-maker. They define states, actions, transition probabilities, and rewards.</w:t>
      </w:r>
    </w:p>
    <w:p w14:paraId="0D8B3F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Q-Learning:</w:t>
      </w:r>
      <w:r>
        <w:rPr>
          <w:rFonts w:ascii="Times New Roman" w:hAnsi="Times New Roman" w:cs="Times New Roman"/>
          <w:sz w:val="24"/>
          <w:szCs w:val="24"/>
        </w:rPr>
        <w:t xml:space="preserve"> A popular RL algorithm that aims to learn the value of action-state pairs, representing the expected future rewards of taking a particular action in a given state. Q-learning is used in applications like game playing and robotics.</w:t>
      </w:r>
    </w:p>
    <w:p w14:paraId="3206D24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Deep Q-Networks (DQNs):</w:t>
      </w:r>
      <w:r>
        <w:rPr>
          <w:rFonts w:ascii="Times New Roman" w:hAnsi="Times New Roman" w:cs="Times New Roman"/>
          <w:sz w:val="24"/>
          <w:szCs w:val="24"/>
        </w:rPr>
        <w:t xml:space="preserve"> An extension of Q-learning that uses deep neural networks to approximate the Q-values for high-dimensional state spaces. DQNs have been successfully applied in complex environments, such as playing Atari games.</w:t>
      </w:r>
    </w:p>
    <w:p w14:paraId="4ABD6E3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Policy Gradient Methods:</w:t>
      </w:r>
      <w:r>
        <w:rPr>
          <w:rFonts w:ascii="Times New Roman" w:hAnsi="Times New Roman" w:cs="Times New Roman"/>
          <w:sz w:val="24"/>
          <w:szCs w:val="24"/>
        </w:rPr>
        <w:t xml:space="preserve"> These methods optimize the policy directly by adjusting the parameters of a policy function. Algorithms like REINFORCE and Proximal Policy Optimization (PPO) are used in tasks requiring continuous action spaces, such as robotic control and real-time strategy games.</w:t>
      </w:r>
    </w:p>
    <w:p w14:paraId="603B1DCF">
      <w:pPr>
        <w:pStyle w:val="3"/>
        <w:spacing w:line="360" w:lineRule="auto"/>
        <w:rPr>
          <w:b/>
          <w:bCs/>
        </w:rPr>
      </w:pPr>
      <w:bookmarkStart w:id="7" w:name="_Toc183163332"/>
      <w:r>
        <w:rPr>
          <w:b/>
          <w:bCs/>
        </w:rPr>
        <w:t>2.</w:t>
      </w:r>
      <w:r>
        <w:rPr>
          <w:rFonts w:hint="default"/>
          <w:b/>
          <w:bCs/>
          <w:lang w:val="en-US"/>
        </w:rPr>
        <w:t>8</w:t>
      </w:r>
      <w:r>
        <w:rPr>
          <w:rFonts w:hint="default"/>
          <w:b/>
          <w:bCs/>
          <w:lang w:val="en-US"/>
        </w:rPr>
        <w:tab/>
      </w:r>
      <w:r>
        <w:rPr>
          <w:rFonts w:hint="default"/>
          <w:b/>
          <w:bCs/>
          <w:lang w:val="en-US"/>
        </w:rPr>
        <w:t xml:space="preserve">Concept of </w:t>
      </w:r>
      <w:r>
        <w:rPr>
          <w:b/>
          <w:bCs/>
        </w:rPr>
        <w:t xml:space="preserve">Feature Selection and </w:t>
      </w:r>
      <w:r>
        <w:rPr>
          <w:rFonts w:hint="default"/>
          <w:b/>
          <w:bCs/>
          <w:lang w:val="en-US"/>
        </w:rPr>
        <w:t xml:space="preserve">Feature </w:t>
      </w:r>
      <w:r>
        <w:rPr>
          <w:b/>
          <w:bCs/>
        </w:rPr>
        <w:t>Engineering</w:t>
      </w:r>
      <w:bookmarkEnd w:id="7"/>
    </w:p>
    <w:p w14:paraId="56F36D8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Feature selection and engineering are critical steps in the machine learning pipeline. They involve identifying and creating the most relevant and informative features (variables) from raw data to improve model performance, interpretability, and generalization. Effective feature selection and engineering can significantly impact the success of machine learning models, particularly in complex tasks like customer churn prediction in the telecommunications industry.</w:t>
      </w:r>
    </w:p>
    <w:p w14:paraId="53BCEFDD">
      <w:pPr>
        <w:pStyle w:val="3"/>
        <w:spacing w:line="360" w:lineRule="auto"/>
        <w:rPr>
          <w:b/>
          <w:bCs/>
        </w:rPr>
      </w:pPr>
      <w:bookmarkStart w:id="8" w:name="_Toc183163333"/>
      <w:r>
        <w:rPr>
          <w:b/>
          <w:bCs/>
        </w:rPr>
        <w:t>2.</w:t>
      </w:r>
      <w:r>
        <w:rPr>
          <w:rFonts w:hint="default"/>
          <w:b/>
          <w:bCs/>
          <w:lang w:val="en-US"/>
        </w:rPr>
        <w:t>8</w:t>
      </w:r>
      <w:r>
        <w:rPr>
          <w:b/>
          <w:bCs/>
        </w:rPr>
        <w:t>.1</w:t>
      </w:r>
      <w:r>
        <w:rPr>
          <w:rFonts w:hint="default"/>
          <w:b/>
          <w:bCs/>
          <w:lang w:val="en-US"/>
        </w:rPr>
        <w:tab/>
      </w:r>
      <w:r>
        <w:rPr>
          <w:b/>
          <w:bCs/>
        </w:rPr>
        <w:t>Methods of Feature Selection</w:t>
      </w:r>
      <w:bookmarkEnd w:id="8"/>
    </w:p>
    <w:p w14:paraId="124AD0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Filter Methods:</w:t>
      </w:r>
      <w:r>
        <w:rPr>
          <w:rFonts w:ascii="Times New Roman" w:hAnsi="Times New Roman" w:cs="Times New Roman"/>
          <w:sz w:val="24"/>
          <w:szCs w:val="24"/>
        </w:rPr>
        <w:t xml:space="preserve"> Filter methods evaluate the relevance of each feature independently of the model. Common techniques include statistical tests (e.g., chi-square, ANOVA), correlation coefficients, and mutual information. These methods are computationally efficient and provide a good first step in the feature selection process.</w:t>
      </w:r>
    </w:p>
    <w:p w14:paraId="5B36F29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Wrapper Methods:</w:t>
      </w:r>
      <w:r>
        <w:rPr>
          <w:rFonts w:ascii="Times New Roman" w:hAnsi="Times New Roman" w:cs="Times New Roman"/>
          <w:sz w:val="24"/>
          <w:szCs w:val="24"/>
        </w:rPr>
        <w:t xml:space="preserve"> Wrapper methods evaluate the performance of a subset of features by training a model and measuring its accuracy. Techniques like forward selection, backward elimination, and recursive feature elimination (RFE) are commonly used. Although more computationally intensive than filter methods, wrapper methods often yield better performance by considering feature interactions.</w:t>
      </w:r>
    </w:p>
    <w:p w14:paraId="6605AEC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Embedded Methods:</w:t>
      </w:r>
      <w:r>
        <w:rPr>
          <w:rFonts w:ascii="Times New Roman" w:hAnsi="Times New Roman" w:cs="Times New Roman"/>
          <w:sz w:val="24"/>
          <w:szCs w:val="24"/>
        </w:rPr>
        <w:t xml:space="preserve"> Embedded methods perform feature selection during the model training process. Techniques such as Lasso (Least Absolute Shrinkage and Selection Operator) and Ridge regression add regularization terms to the loss function, penalizing the inclusion of less important features. Tree-based methods like random forests and gradient boosting also provide feature importance scores as part of the model training process.</w:t>
      </w:r>
    </w:p>
    <w:p w14:paraId="030FB270">
      <w:pPr>
        <w:pStyle w:val="3"/>
        <w:spacing w:line="360" w:lineRule="auto"/>
        <w:rPr>
          <w:b/>
          <w:bCs/>
        </w:rPr>
      </w:pPr>
      <w:bookmarkStart w:id="9" w:name="_Toc183163334"/>
      <w:r>
        <w:rPr>
          <w:b/>
          <w:bCs/>
        </w:rPr>
        <w:t>2.</w:t>
      </w:r>
      <w:r>
        <w:rPr>
          <w:rFonts w:hint="default"/>
          <w:b/>
          <w:bCs/>
          <w:lang w:val="en-US"/>
        </w:rPr>
        <w:t>8</w:t>
      </w:r>
      <w:r>
        <w:rPr>
          <w:b/>
          <w:bCs/>
        </w:rPr>
        <w:t>.</w:t>
      </w:r>
      <w:r>
        <w:rPr>
          <w:rFonts w:hint="default"/>
          <w:b/>
          <w:bCs/>
          <w:lang w:val="en-US"/>
        </w:rPr>
        <w:t>2</w:t>
      </w:r>
      <w:r>
        <w:rPr>
          <w:rFonts w:hint="default"/>
          <w:b/>
          <w:bCs/>
          <w:lang w:val="en-US"/>
        </w:rPr>
        <w:tab/>
      </w:r>
      <w:r>
        <w:rPr>
          <w:b/>
          <w:bCs/>
        </w:rPr>
        <w:t>Feature Engineering Techniques in Customer Churn Prediction</w:t>
      </w:r>
      <w:bookmarkEnd w:id="9"/>
    </w:p>
    <w:p w14:paraId="0C3D1C8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customer churn prediction, feature engineering can significantly enhance model performance by creating features that capture the nuanced behavior of customers. Some common techniques include:</w:t>
      </w:r>
    </w:p>
    <w:p w14:paraId="1F7B1B9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Customer Engagement Metrics:</w:t>
      </w:r>
      <w:r>
        <w:rPr>
          <w:rFonts w:ascii="Times New Roman" w:hAnsi="Times New Roman" w:cs="Times New Roman"/>
          <w:sz w:val="24"/>
          <w:szCs w:val="24"/>
        </w:rPr>
        <w:t xml:space="preserve"> Creating features that quantify customer engagement, such as the number of calls made, data usage, and frequency of customer service interactions, can provide insights into customer satisfaction and likelihood of churn.</w:t>
      </w:r>
    </w:p>
    <w:p w14:paraId="50DF40F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Behavioral Patterns:</w:t>
      </w:r>
      <w:r>
        <w:rPr>
          <w:rFonts w:ascii="Times New Roman" w:hAnsi="Times New Roman" w:cs="Times New Roman"/>
          <w:sz w:val="24"/>
          <w:szCs w:val="24"/>
        </w:rPr>
        <w:t xml:space="preserve"> Analyzing patterns in service usage over time, such as changes in data consumption or call duration, can help identify early signs of churn. For example, a sudden drop in usage might indicate dissatisfaction.</w:t>
      </w:r>
    </w:p>
    <w:p w14:paraId="1FCB7C9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Derived Features:</w:t>
      </w:r>
      <w:r>
        <w:rPr>
          <w:rFonts w:ascii="Times New Roman" w:hAnsi="Times New Roman" w:cs="Times New Roman"/>
          <w:sz w:val="24"/>
          <w:szCs w:val="24"/>
        </w:rPr>
        <w:t xml:space="preserve"> Creating new features from existing ones, such as the ratio of different service usages (e.g., call-to-data usage ratio), can reveal more about customer preferences and potential churn risk.</w:t>
      </w:r>
    </w:p>
    <w:p w14:paraId="5C77619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Temporal Features:</w:t>
      </w:r>
      <w:r>
        <w:rPr>
          <w:rFonts w:ascii="Times New Roman" w:hAnsi="Times New Roman" w:cs="Times New Roman"/>
          <w:sz w:val="24"/>
          <w:szCs w:val="24"/>
        </w:rPr>
        <w:t xml:space="preserve"> Incorporating temporal aspects, such as the time since the last customer interaction or the duration of the current contract, can help capture trends and seasonality in churn behavior.</w:t>
      </w:r>
    </w:p>
    <w:p w14:paraId="6AE84C5A">
      <w:pPr>
        <w:pStyle w:val="3"/>
        <w:spacing w:line="360" w:lineRule="auto"/>
        <w:rPr>
          <w:b/>
          <w:bCs/>
        </w:rPr>
      </w:pPr>
      <w:bookmarkStart w:id="10" w:name="_Toc183163335"/>
      <w:r>
        <w:rPr>
          <w:b/>
          <w:bCs/>
        </w:rPr>
        <w:t>2.</w:t>
      </w:r>
      <w:r>
        <w:rPr>
          <w:rFonts w:hint="default"/>
          <w:b/>
          <w:bCs/>
          <w:lang w:val="en-US"/>
        </w:rPr>
        <w:t>9</w:t>
      </w:r>
      <w:r>
        <w:rPr>
          <w:rFonts w:hint="default"/>
          <w:b/>
          <w:bCs/>
          <w:lang w:val="en-US"/>
        </w:rPr>
        <w:tab/>
      </w:r>
      <w:r>
        <w:rPr>
          <w:b/>
          <w:bCs/>
        </w:rPr>
        <w:t>Common Features Used in Churn Prediction</w:t>
      </w:r>
      <w:bookmarkEnd w:id="10"/>
    </w:p>
    <w:p w14:paraId="6CC5F8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churn prediction involves identifying customers who are likely to leave a service provider. Accurate prediction relies heavily on selecting the right features that reflect customer behavior, preferences, and satisfaction levels. Common features used in churn prediction include usage patterns, customer demographics, and billing information, among others. These features help build models that can effectively identify at-risk customers and enable targeted retention strategies.</w:t>
      </w:r>
    </w:p>
    <w:p w14:paraId="01E4D8D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Usage Patterns</w:t>
      </w:r>
    </w:p>
    <w:p w14:paraId="436034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Call and Data Usage:</w:t>
      </w:r>
      <w:r>
        <w:rPr>
          <w:rFonts w:ascii="Times New Roman" w:hAnsi="Times New Roman" w:cs="Times New Roman"/>
          <w:sz w:val="24"/>
          <w:szCs w:val="24"/>
        </w:rPr>
        <w:t xml:space="preserve"> One of the most significant predictors of churn is how customers use their telecommunication services. Metrics like the number of calls made, call duration, data usage volume, and frequency of service usage can provide insights into customer engagement and satisfaction. For instance, a sudden drop in call duration or data usage might indicate dissatisfaction or a shift to a competitor's service.</w:t>
      </w:r>
    </w:p>
    <w:p w14:paraId="5CBEB4C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Service Interactions:</w:t>
      </w:r>
      <w:r>
        <w:rPr>
          <w:rFonts w:ascii="Times New Roman" w:hAnsi="Times New Roman" w:cs="Times New Roman"/>
          <w:sz w:val="24"/>
          <w:szCs w:val="24"/>
        </w:rPr>
        <w:t xml:space="preserve"> The frequency and nature of interactions with customer service can be indicative of churn risk. High volumes of complaint calls or frequent requests for support can signal dissatisfaction. Conversely, proactive service interactions, such as seeking information about new services, might indicate customer engagement.</w:t>
      </w:r>
    </w:p>
    <w:p w14:paraId="1B2964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Usage Trends:</w:t>
      </w:r>
      <w:r>
        <w:rPr>
          <w:rFonts w:ascii="Times New Roman" w:hAnsi="Times New Roman" w:cs="Times New Roman"/>
          <w:sz w:val="24"/>
          <w:szCs w:val="24"/>
        </w:rPr>
        <w:t xml:space="preserve"> Analyzing trends over time can help detect changes in behavior that precede churn. For example, if a customer's usage gradually declines over several months, it might indicate that they are considering switching providers. Seasonal variations and patterns in usage can also be important; for example, higher usage during certain times of the year might be typical for some customers, and deviations from this pattern could be significant.</w:t>
      </w:r>
    </w:p>
    <w:p w14:paraId="1E0042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Feature Adoption:</w:t>
      </w:r>
      <w:r>
        <w:rPr>
          <w:rFonts w:ascii="Times New Roman" w:hAnsi="Times New Roman" w:cs="Times New Roman"/>
          <w:sz w:val="24"/>
          <w:szCs w:val="24"/>
        </w:rPr>
        <w:t xml:space="preserve"> The adoption of new features or services can indicate customer satisfaction and engagement. Customers who frequently try out new services or upgrade their plans are generally more engaged and less likely to churn. Conversely, those who do not adopt new features might be at a higher risk of leaving.</w:t>
      </w:r>
    </w:p>
    <w:p w14:paraId="0AFCAE1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Customer Demographics</w:t>
      </w:r>
    </w:p>
    <w:p w14:paraId="1AAE5BB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Age and Gender:</w:t>
      </w:r>
      <w:r>
        <w:rPr>
          <w:rFonts w:ascii="Times New Roman" w:hAnsi="Times New Roman" w:cs="Times New Roman"/>
          <w:sz w:val="24"/>
          <w:szCs w:val="24"/>
        </w:rPr>
        <w:t xml:space="preserve"> Demographic factors such as age and gender can influence churn behavior. Different age groups and genders may have varying preferences and levels of satisfaction with services. For example, younger customers might prioritize data services for social media and streaming, while older customers might value call quality more.</w:t>
      </w:r>
    </w:p>
    <w:p w14:paraId="2E01C61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Location:</w:t>
      </w:r>
      <w:r>
        <w:rPr>
          <w:rFonts w:ascii="Times New Roman" w:hAnsi="Times New Roman" w:cs="Times New Roman"/>
          <w:sz w:val="24"/>
          <w:szCs w:val="24"/>
        </w:rPr>
        <w:t xml:space="preserve"> Geographic information can provide insights into service availability and competition. Customers in urban areas might have more alternatives and be more likely to churn if they experience poor service quality. Rural customers might have fewer options and different usage patterns, affecting their churn behavior.</w:t>
      </w:r>
    </w:p>
    <w:p w14:paraId="151919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Income and Occupation:</w:t>
      </w:r>
      <w:r>
        <w:rPr>
          <w:rFonts w:ascii="Times New Roman" w:hAnsi="Times New Roman" w:cs="Times New Roman"/>
          <w:sz w:val="24"/>
          <w:szCs w:val="24"/>
        </w:rPr>
        <w:t xml:space="preserve"> Socioeconomic status can affect customers' ability to pay for services and their sensitivity to price changes. Higher-income customers might be less price-sensitive and more focused on service quality, while lower-income customers might be more likely to churn due to financial constraints.</w:t>
      </w:r>
    </w:p>
    <w:p w14:paraId="7F0099B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Education Level:</w:t>
      </w:r>
      <w:r>
        <w:rPr>
          <w:rFonts w:ascii="Times New Roman" w:hAnsi="Times New Roman" w:cs="Times New Roman"/>
          <w:sz w:val="24"/>
          <w:szCs w:val="24"/>
        </w:rPr>
        <w:t xml:space="preserve"> Education can impact customers' awareness of available services and their propensity to seek better deals. More educated customers might be more proactive in exploring alternatives and switching providers if they find better offers.</w:t>
      </w:r>
    </w:p>
    <w:p w14:paraId="60D56C93">
      <w:pPr>
        <w:spacing w:after="0" w:line="360" w:lineRule="auto"/>
        <w:jc w:val="both"/>
        <w:rPr>
          <w:rFonts w:ascii="Times New Roman" w:hAnsi="Times New Roman" w:cs="Times New Roman"/>
          <w:b/>
          <w:bCs/>
          <w:sz w:val="24"/>
          <w:szCs w:val="24"/>
        </w:rPr>
      </w:pPr>
    </w:p>
    <w:p w14:paraId="5515775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Billing Information</w:t>
      </w:r>
    </w:p>
    <w:p w14:paraId="339117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Payment History:</w:t>
      </w:r>
      <w:r>
        <w:rPr>
          <w:rFonts w:ascii="Times New Roman" w:hAnsi="Times New Roman" w:cs="Times New Roman"/>
          <w:sz w:val="24"/>
          <w:szCs w:val="24"/>
        </w:rPr>
        <w:t xml:space="preserve"> Timely payments and the presence of overdue bills can indicate financial stability and customer satisfaction. Customers who frequently miss payments or have a history of overdue bills might be at a higher risk of churning due to financial difficulties or dissatisfaction with the service.</w:t>
      </w:r>
    </w:p>
    <w:p w14:paraId="602E5FF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Billing Cycle and Amount:</w:t>
      </w:r>
      <w:r>
        <w:rPr>
          <w:rFonts w:ascii="Times New Roman" w:hAnsi="Times New Roman" w:cs="Times New Roman"/>
          <w:sz w:val="24"/>
          <w:szCs w:val="24"/>
        </w:rPr>
        <w:t xml:space="preserve"> The frequency and amount of bills can affect churn risk. Customers with high monthly bills might be more inclined to switch providers if they perceive they are not getting value for their money. Additionally, those on longer billing cycles might be less engaged and more likely to churn.</w:t>
      </w:r>
    </w:p>
    <w:p w14:paraId="6E250F9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Payment Method:</w:t>
      </w:r>
      <w:r>
        <w:rPr>
          <w:rFonts w:ascii="Times New Roman" w:hAnsi="Times New Roman" w:cs="Times New Roman"/>
          <w:sz w:val="24"/>
          <w:szCs w:val="24"/>
        </w:rPr>
        <w:t xml:space="preserve"> The method of payment (e.g., credit card, direct debit, prepaid) can provide insights into customer preferences and financial behavior. Prepaid customers might churn more frequently due to the flexibility to switch providers without penalty, while postpaid customers with long-term contracts might have lower churn rates.</w:t>
      </w:r>
    </w:p>
    <w:p w14:paraId="1ED464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Discounts and Promotions:</w:t>
      </w:r>
      <w:r>
        <w:rPr>
          <w:rFonts w:ascii="Times New Roman" w:hAnsi="Times New Roman" w:cs="Times New Roman"/>
          <w:sz w:val="24"/>
          <w:szCs w:val="24"/>
        </w:rPr>
        <w:t xml:space="preserve"> The use of discounts and promotional offers can affect customer retention. Customers who frequently take advantage of promotions might be more price-sensitive and prone to churn if these offers are discontinued.</w:t>
      </w:r>
    </w:p>
    <w:p w14:paraId="55246A3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Other Relevant Features</w:t>
      </w:r>
    </w:p>
    <w:p w14:paraId="710CC7D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Contract Type and Duration:</w:t>
      </w:r>
      <w:r>
        <w:rPr>
          <w:rFonts w:ascii="Times New Roman" w:hAnsi="Times New Roman" w:cs="Times New Roman"/>
          <w:sz w:val="24"/>
          <w:szCs w:val="24"/>
        </w:rPr>
        <w:t xml:space="preserve"> The type and length of the contract can significantly influence churn behavior. Customers on long-term contracts with penalties for early termination might be less likely to churn compared to those on month-to-month plans. The approach of contract renewal dates can also be a critical period for churn risk.</w:t>
      </w:r>
    </w:p>
    <w:p w14:paraId="125BF5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Customer Satisfaction Scores:</w:t>
      </w:r>
      <w:r>
        <w:rPr>
          <w:rFonts w:ascii="Times New Roman" w:hAnsi="Times New Roman" w:cs="Times New Roman"/>
          <w:sz w:val="24"/>
          <w:szCs w:val="24"/>
        </w:rPr>
        <w:t xml:space="preserve"> Surveys and feedback mechanisms that measure customer satisfaction can provide direct insights into churn risk. Low satisfaction scores are often correlated with higher churn rates. Net Promoter Score (NPS) and Customer Satisfaction Score (CSAT) are commonly used metrics.</w:t>
      </w:r>
    </w:p>
    <w:p w14:paraId="6CEBBA1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Service Quality Metrics:</w:t>
      </w:r>
      <w:r>
        <w:rPr>
          <w:rFonts w:ascii="Times New Roman" w:hAnsi="Times New Roman" w:cs="Times New Roman"/>
          <w:sz w:val="24"/>
          <w:szCs w:val="24"/>
        </w:rPr>
        <w:t xml:space="preserve"> Network performance indicators, such as call drop rates, data speed, and network coverage, are crucial for understanding customer satisfaction. Poor service quality can drive customers to switch providers. Monitoring these metrics can help identify at-risk customers.</w:t>
      </w:r>
    </w:p>
    <w:p w14:paraId="2A4F0D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Engagement with Marketing Campaigns:</w:t>
      </w:r>
      <w:r>
        <w:rPr>
          <w:rFonts w:ascii="Times New Roman" w:hAnsi="Times New Roman" w:cs="Times New Roman"/>
          <w:sz w:val="24"/>
          <w:szCs w:val="24"/>
        </w:rPr>
        <w:t xml:space="preserve"> Interaction with marketing efforts, such as opening emails, clicking on ads, or participating in loyalty programs, can indicate customer engagement. Higher engagement levels generally correlate with lower churn rates, as these customers feel more connected to the brand.</w:t>
      </w:r>
    </w:p>
    <w:p w14:paraId="35D6037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b/>
          <w:bCs/>
          <w:sz w:val="24"/>
          <w:szCs w:val="24"/>
        </w:rPr>
        <w:t>Churn History:</w:t>
      </w:r>
      <w:r>
        <w:rPr>
          <w:rFonts w:ascii="Times New Roman" w:hAnsi="Times New Roman" w:cs="Times New Roman"/>
          <w:sz w:val="24"/>
          <w:szCs w:val="24"/>
        </w:rPr>
        <w:t xml:space="preserve"> Historical churn behavior can be predictive of future churn. Customers who have previously churned and returned may exhibit patterns that indicate higher churn risk. Understanding these patterns can help tailor retention strategies.</w:t>
      </w:r>
    </w:p>
    <w:p w14:paraId="6E4F687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r>
        <w:rPr>
          <w:rFonts w:ascii="Times New Roman" w:hAnsi="Times New Roman" w:cs="Times New Roman"/>
          <w:b/>
          <w:bCs/>
          <w:sz w:val="24"/>
          <w:szCs w:val="24"/>
        </w:rPr>
        <w:t>Competitor Activity:</w:t>
      </w:r>
      <w:r>
        <w:rPr>
          <w:rFonts w:ascii="Times New Roman" w:hAnsi="Times New Roman" w:cs="Times New Roman"/>
          <w:sz w:val="24"/>
          <w:szCs w:val="24"/>
        </w:rPr>
        <w:t xml:space="preserve"> Market conditions and competitor actions, such as new service launches or aggressive pricing strategies, can influence churn. Customers might switch providers in response to better offers or innovative services from competitors.</w:t>
      </w:r>
    </w:p>
    <w:p w14:paraId="776833B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r>
      <w:r>
        <w:rPr>
          <w:rFonts w:ascii="Times New Roman" w:hAnsi="Times New Roman" w:cs="Times New Roman"/>
          <w:b/>
          <w:bCs/>
          <w:sz w:val="24"/>
          <w:szCs w:val="24"/>
        </w:rPr>
        <w:t>Customer Tenure:</w:t>
      </w:r>
      <w:r>
        <w:rPr>
          <w:rFonts w:ascii="Times New Roman" w:hAnsi="Times New Roman" w:cs="Times New Roman"/>
          <w:sz w:val="24"/>
          <w:szCs w:val="24"/>
        </w:rPr>
        <w:t xml:space="preserve"> The length of time a customer has been with the service provider can impact churn behavior. Long-term customers might have higher loyalty and lower churn rates, while new customers might be more prone to switch providers if their initial experience is unsatisfactory.</w:t>
      </w:r>
    </w:p>
    <w:p w14:paraId="7395B9A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Integrating Features for Churn Prediction Models</w:t>
      </w:r>
    </w:p>
    <w:p w14:paraId="51FFBCA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Feature Engineering:</w:t>
      </w:r>
      <w:r>
        <w:rPr>
          <w:rFonts w:ascii="Times New Roman" w:hAnsi="Times New Roman" w:cs="Times New Roman"/>
          <w:sz w:val="24"/>
          <w:szCs w:val="24"/>
        </w:rPr>
        <w:t xml:space="preserve"> Combining and transforming raw data into meaningful features is crucial for building effective churn prediction models. Techniques such as creating interaction terms, aggregating data over different time periods, and scaling features to a common range can enhance model performance.</w:t>
      </w:r>
    </w:p>
    <w:p w14:paraId="5AF4C7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Feature Selection:</w:t>
      </w:r>
      <w:r>
        <w:rPr>
          <w:rFonts w:ascii="Times New Roman" w:hAnsi="Times New Roman" w:cs="Times New Roman"/>
          <w:sz w:val="24"/>
          <w:szCs w:val="24"/>
        </w:rPr>
        <w:t xml:space="preserve"> Selecting the most relevant features helps in building models that are both accurate and interpretable. Techniques like correlation analysis, mutual information, and recursive feature elimination (RFE) can identify the features that contribute most to predicting churn.</w:t>
      </w:r>
    </w:p>
    <w:p w14:paraId="7B90B77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Modeling Approaches:</w:t>
      </w:r>
      <w:r>
        <w:rPr>
          <w:rFonts w:ascii="Times New Roman" w:hAnsi="Times New Roman" w:cs="Times New Roman"/>
          <w:sz w:val="24"/>
          <w:szCs w:val="24"/>
        </w:rPr>
        <w:t xml:space="preserve"> Various machine learning algorithms can be used to predict churn, including decision trees, random forests, logistic regression, and neural networks. The choice of algorithm depends on the complexity of the data, the importance of interpretability, and the computational resources available.</w:t>
      </w:r>
    </w:p>
    <w:p w14:paraId="79DC108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Model Evaluation Metrics</w:t>
      </w:r>
    </w:p>
    <w:p w14:paraId="0A73B87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Evaluating the performance of machine learning models is crucial to ensure their effectiveness, especially in sensitive applications like churn prediction in the telecommunications industry. Various metrics and techniques are used to assess how well a model predicts churn, including accuracy, precision, recall, F1-score, ROC-AUC, and cross-validation methods.</w:t>
      </w:r>
    </w:p>
    <w:p w14:paraId="0C1EB964">
      <w:pPr>
        <w:pStyle w:val="3"/>
        <w:bidi w:val="0"/>
        <w:spacing w:line="360" w:lineRule="auto"/>
        <w:rPr>
          <w:rFonts w:hint="default"/>
          <w:b/>
          <w:bCs/>
          <w:lang w:val="en-US"/>
        </w:rPr>
      </w:pPr>
      <w:r>
        <w:rPr>
          <w:rFonts w:hint="default"/>
          <w:b/>
          <w:bCs/>
          <w:lang w:val="en-US"/>
        </w:rPr>
        <w:t>2.10</w:t>
      </w:r>
      <w:r>
        <w:rPr>
          <w:rFonts w:hint="default"/>
          <w:b/>
          <w:bCs/>
          <w:lang w:val="en-US"/>
        </w:rPr>
        <w:tab/>
      </w:r>
      <w:r>
        <w:rPr>
          <w:rFonts w:hint="default"/>
          <w:b/>
          <w:bCs/>
          <w:lang w:val="en-US"/>
        </w:rPr>
        <w:t>Analysis of Model Evaluation Metrics and Techniques</w:t>
      </w:r>
    </w:p>
    <w:p w14:paraId="11BAF96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Accuracy, Precision, Recall, and F1-Score</w:t>
      </w:r>
    </w:p>
    <w:p w14:paraId="4CFF0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Accuracy</w:t>
      </w:r>
    </w:p>
    <w:p w14:paraId="6DD4088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Accuracy is the simplest metric and represents the ratio of correctly predicted instances to the total instances. It is calculated as follows:</w:t>
      </w:r>
    </w:p>
    <w:p w14:paraId="76F671CF">
      <w:pPr>
        <w:pStyle w:val="258"/>
        <w:spacing w:after="0" w:line="360" w:lineRule="auto"/>
        <w:ind w:left="0" w:leftChars="0" w:firstLine="0" w:firstLineChars="0"/>
        <w:jc w:val="both"/>
        <w:rPr>
          <w:rFonts w:hint="default" w:ascii="Times New Roman" w:hAnsi="Times New Roman" w:cs="Times New Roman"/>
          <w:sz w:val="24"/>
          <w:szCs w:val="24"/>
          <w:lang w:val="en-US"/>
        </w:rPr>
      </w:pPr>
      <m:oMathPara>
        <m:oMathParaPr>
          <m:jc m:val="center"/>
        </m:oMathParaPr>
        <m:oMath>
          <m:r>
            <m:rPr>
              <m:sty m:val="b"/>
            </m:rPr>
            <w:rPr>
              <w:rFonts w:hint="default" w:ascii="Cambria Math" w:hAnsi="Cambria Math" w:cs="Times New Roman"/>
              <w:sz w:val="24"/>
              <w:szCs w:val="24"/>
              <w:lang w:val="en-US"/>
            </w:rPr>
            <m:t>Accuracy=</m:t>
          </m:r>
          <m:f>
            <m:fPr>
              <m:ctrlPr>
                <w:rPr>
                  <w:rFonts w:ascii="Cambria Math" w:hAnsi="Cambria Math" w:cs="Times New Roman"/>
                  <w:b/>
                  <w:bCs/>
                  <w:i/>
                  <w:sz w:val="24"/>
                  <w:szCs w:val="24"/>
                </w:rPr>
              </m:ctrlPr>
            </m:fPr>
            <m:num>
              <m:r>
                <m:rPr>
                  <m:sty m:val="bi"/>
                </m:rPr>
                <w:rPr>
                  <w:rFonts w:hint="default" w:ascii="Cambria Math" w:hAnsi="Cambria Math" w:cs="Times New Roman"/>
                  <w:sz w:val="24"/>
                  <w:szCs w:val="24"/>
                </w:rPr>
                <m:t>True Positive</m:t>
              </m:r>
              <m:r>
                <m:rPr>
                  <m:sty m:val="bi"/>
                </m:rPr>
                <w:rPr>
                  <w:rFonts w:hint="default" w:ascii="Cambria Math" w:hAnsi="Cambria Math" w:cs="Times New Roman"/>
                  <w:sz w:val="24"/>
                  <w:szCs w:val="24"/>
                  <w:lang w:val="en-US"/>
                </w:rPr>
                <m:t>s</m:t>
              </m:r>
              <m:r>
                <m:rPr>
                  <m:sty m:val="bi"/>
                </m:rPr>
                <w:rPr>
                  <w:rFonts w:ascii="Cambria Math" w:hAnsi="Cambria Math" w:cs="Times New Roman"/>
                  <w:sz w:val="24"/>
                  <w:szCs w:val="24"/>
                </w:rPr>
                <m:t xml:space="preserve"> </m:t>
              </m:r>
              <m:d>
                <m:dPr>
                  <m:ctrlPr>
                    <w:rPr>
                      <w:rFonts w:ascii="Cambria Math" w:hAnsi="Cambria Math" w:cs="Times New Roman"/>
                      <w:b/>
                      <w:bCs/>
                      <w:i/>
                      <w:sz w:val="24"/>
                      <w:szCs w:val="24"/>
                    </w:rPr>
                  </m:ctrlPr>
                </m:dPr>
                <m:e>
                  <m:r>
                    <m:rPr>
                      <m:sty m:val="bi"/>
                    </m:rPr>
                    <w:rPr>
                      <w:rFonts w:hint="default" w:ascii="Cambria Math" w:hAnsi="Cambria Math" w:cs="Times New Roman"/>
                      <w:sz w:val="24"/>
                      <w:szCs w:val="24"/>
                    </w:rPr>
                    <m:t>TP</m:t>
                  </m:r>
                  <m:ctrlPr>
                    <w:rPr>
                      <w:rFonts w:ascii="Cambria Math" w:hAnsi="Cambria Math" w:cs="Times New Roman"/>
                      <w:b/>
                      <w:bCs/>
                      <w:i/>
                      <w:sz w:val="24"/>
                      <w:szCs w:val="24"/>
                    </w:rPr>
                  </m:ctrlPr>
                </m:e>
              </m:d>
              <m:r>
                <m:rPr>
                  <m:sty m:val="bi"/>
                </m:rPr>
                <w:rPr>
                  <w:rFonts w:hint="default" w:ascii="Cambria Math" w:hAnsi="Cambria Math" w:cs="Times New Roman"/>
                  <w:sz w:val="24"/>
                  <w:szCs w:val="24"/>
                </w:rPr>
                <m:t>+True Negatives (TN)</m:t>
              </m:r>
              <m:ctrlPr>
                <w:rPr>
                  <w:rFonts w:ascii="Cambria Math" w:hAnsi="Cambria Math" w:cs="Times New Roman"/>
                  <w:b/>
                  <w:bCs/>
                  <w:i/>
                  <w:sz w:val="24"/>
                  <w:szCs w:val="24"/>
                </w:rPr>
              </m:ctrlPr>
            </m:num>
            <m:den>
              <m:r>
                <m:rPr>
                  <m:sty m:val="bi"/>
                </m:rPr>
                <w:rPr>
                  <w:rFonts w:hint="default" w:ascii="Cambria Math" w:hAnsi="Cambria Math" w:cs="Times New Roman"/>
                  <w:sz w:val="24"/>
                  <w:szCs w:val="24"/>
                </w:rPr>
                <m:t>Total Instances</m:t>
              </m:r>
              <m:ctrlPr>
                <w:rPr>
                  <w:rFonts w:ascii="Cambria Math" w:hAnsi="Cambria Math" w:cs="Times New Roman"/>
                  <w:b/>
                  <w:bCs/>
                  <w:i/>
                  <w:sz w:val="24"/>
                  <w:szCs w:val="24"/>
                </w:rPr>
              </m:ctrlPr>
            </m:den>
          </m:f>
        </m:oMath>
      </m:oMathPara>
    </w:p>
    <w:p w14:paraId="3B7F576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While accuracy provides a general idea of the model's performance, it can be misleading in cases of class imbalance, which is common in churn prediction where the number of non-churning customers often exceeds the number of churners.</w:t>
      </w:r>
    </w:p>
    <w:p w14:paraId="1F49CEEF">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Precision</w:t>
      </w:r>
    </w:p>
    <w:p w14:paraId="79C394F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Precision measures the ratio of correctly predicted positive instances to the total predicted positive instances. It is particularly useful when the cost of false positives is high. For churn prediction, it indicates the proportion of predicted churners who actually churned.</w:t>
      </w:r>
    </w:p>
    <w:p w14:paraId="1CE294CF">
      <w:pPr>
        <w:spacing w:after="0" w:line="360" w:lineRule="auto"/>
        <w:jc w:val="both"/>
        <w:rPr>
          <w:rFonts w:hint="default" w:ascii="Times New Roman" w:hAnsi="Times New Roman" w:cs="Times New Roman"/>
          <w:sz w:val="24"/>
          <w:szCs w:val="24"/>
          <w:lang w:val="en-US"/>
        </w:rPr>
      </w:pPr>
      <m:oMathPara>
        <m:oMathParaPr>
          <m:jc m:val="center"/>
        </m:oMathParaPr>
        <m:oMath>
          <m:r>
            <m:rPr>
              <m:sty m:val="b"/>
            </m:rPr>
            <w:rPr>
              <w:rFonts w:hint="default" w:ascii="Cambria Math" w:hAnsi="Cambria Math" w:cs="Times New Roman"/>
              <w:sz w:val="24"/>
              <w:szCs w:val="24"/>
              <w:lang w:val="en-US"/>
            </w:rPr>
            <m:t>Precision=</m:t>
          </m:r>
          <m:f>
            <m:fPr>
              <m:ctrlPr>
                <w:rPr>
                  <w:rFonts w:ascii="Cambria Math" w:hAnsi="Cambria Math" w:cs="Times New Roman"/>
                  <w:b/>
                  <w:bCs/>
                  <w:i/>
                  <w:sz w:val="24"/>
                  <w:szCs w:val="24"/>
                </w:rPr>
              </m:ctrlPr>
            </m:fPr>
            <m:num>
              <m:r>
                <m:rPr>
                  <m:sty m:val="bi"/>
                </m:rPr>
                <w:rPr>
                  <w:rFonts w:hint="default" w:ascii="Cambria Math" w:hAnsi="Cambria Math" w:cs="Times New Roman"/>
                  <w:sz w:val="24"/>
                  <w:szCs w:val="24"/>
                </w:rPr>
                <m:t>T</m:t>
              </m:r>
              <m:r>
                <m:rPr>
                  <m:sty m:val="bi"/>
                </m:rPr>
                <w:rPr>
                  <w:rFonts w:hint="default" w:ascii="Cambria Math" w:hAnsi="Cambria Math" w:cs="Times New Roman"/>
                  <w:sz w:val="24"/>
                  <w:szCs w:val="24"/>
                  <w:lang w:val="en-US"/>
                </w:rPr>
                <m:t xml:space="preserve">rue </m:t>
              </m:r>
              <m:r>
                <m:rPr>
                  <m:sty m:val="bi"/>
                </m:rPr>
                <w:rPr>
                  <w:rFonts w:hint="default" w:ascii="Cambria Math" w:hAnsi="Cambria Math" w:cs="Times New Roman"/>
                  <w:sz w:val="24"/>
                  <w:szCs w:val="24"/>
                </w:rPr>
                <m:t>P</m:t>
              </m:r>
              <m:r>
                <m:rPr>
                  <m:sty m:val="bi"/>
                </m:rPr>
                <w:rPr>
                  <w:rFonts w:hint="default" w:ascii="Cambria Math" w:hAnsi="Cambria Math" w:cs="Times New Roman"/>
                  <w:sz w:val="24"/>
                  <w:szCs w:val="24"/>
                  <w:lang w:val="en-US"/>
                </w:rPr>
                <m:t>ositives (TP)</m:t>
              </m:r>
              <m:ctrlPr>
                <w:rPr>
                  <w:rFonts w:ascii="Cambria Math" w:hAnsi="Cambria Math" w:cs="Times New Roman"/>
                  <w:b/>
                  <w:bCs/>
                  <w:i/>
                  <w:sz w:val="24"/>
                  <w:szCs w:val="24"/>
                </w:rPr>
              </m:ctrlPr>
            </m:num>
            <m:den>
              <m:r>
                <m:rPr>
                  <m:sty m:val="bi"/>
                </m:rPr>
                <w:rPr>
                  <w:rFonts w:hint="default" w:ascii="Cambria Math" w:hAnsi="Cambria Math" w:cs="Times New Roman"/>
                  <w:sz w:val="24"/>
                  <w:szCs w:val="24"/>
                </w:rPr>
                <m:t>T</m:t>
              </m:r>
              <m:r>
                <m:rPr>
                  <m:sty m:val="bi"/>
                </m:rPr>
                <w:rPr>
                  <w:rFonts w:hint="default" w:ascii="Cambria Math" w:hAnsi="Cambria Math" w:cs="Times New Roman"/>
                  <w:sz w:val="24"/>
                  <w:szCs w:val="24"/>
                  <w:lang w:val="en-US"/>
                </w:rPr>
                <m:t xml:space="preserve">rue </m:t>
              </m:r>
              <m:r>
                <m:rPr>
                  <m:sty m:val="bi"/>
                </m:rPr>
                <w:rPr>
                  <w:rFonts w:hint="default" w:ascii="Cambria Math" w:hAnsi="Cambria Math" w:cs="Times New Roman"/>
                  <w:sz w:val="24"/>
                  <w:szCs w:val="24"/>
                </w:rPr>
                <m:t>P</m:t>
              </m:r>
              <m:r>
                <m:rPr>
                  <m:sty m:val="bi"/>
                </m:rPr>
                <w:rPr>
                  <w:rFonts w:hint="default" w:ascii="Cambria Math" w:hAnsi="Cambria Math" w:cs="Times New Roman"/>
                  <w:sz w:val="24"/>
                  <w:szCs w:val="24"/>
                  <w:lang w:val="en-US"/>
                </w:rPr>
                <m:t>ositives (TP)</m:t>
              </m:r>
              <m:r>
                <m:rPr>
                  <m:sty m:val="bi"/>
                </m:rPr>
                <w:rPr>
                  <w:rFonts w:hint="default" w:ascii="Cambria Math" w:hAnsi="Cambria Math" w:cs="Times New Roman"/>
                  <w:sz w:val="24"/>
                  <w:szCs w:val="24"/>
                </w:rPr>
                <m:t>+F</m:t>
              </m:r>
              <m:r>
                <m:rPr>
                  <m:sty m:val="bi"/>
                </m:rPr>
                <w:rPr>
                  <w:rFonts w:hint="default" w:ascii="Cambria Math" w:hAnsi="Cambria Math" w:cs="Times New Roman"/>
                  <w:sz w:val="24"/>
                  <w:szCs w:val="24"/>
                  <w:lang w:val="en-US"/>
                </w:rPr>
                <m:t xml:space="preserve">alse </m:t>
              </m:r>
              <m:r>
                <m:rPr>
                  <m:sty m:val="bi"/>
                </m:rPr>
                <w:rPr>
                  <w:rFonts w:hint="default" w:ascii="Cambria Math" w:hAnsi="Cambria Math" w:cs="Times New Roman"/>
                  <w:sz w:val="24"/>
                  <w:szCs w:val="24"/>
                </w:rPr>
                <m:t>P</m:t>
              </m:r>
              <m:r>
                <m:rPr>
                  <m:sty m:val="bi"/>
                </m:rPr>
                <w:rPr>
                  <w:rFonts w:hint="default" w:ascii="Cambria Math" w:hAnsi="Cambria Math" w:cs="Times New Roman"/>
                  <w:sz w:val="24"/>
                  <w:szCs w:val="24"/>
                  <w:lang w:val="en-US"/>
                </w:rPr>
                <m:t>ositives (FP)</m:t>
              </m:r>
              <m:ctrlPr>
                <w:rPr>
                  <w:rFonts w:ascii="Cambria Math" w:hAnsi="Cambria Math" w:cs="Times New Roman"/>
                  <w:b/>
                  <w:bCs/>
                  <w:i/>
                  <w:sz w:val="24"/>
                  <w:szCs w:val="24"/>
                </w:rPr>
              </m:ctrlPr>
            </m:den>
          </m:f>
        </m:oMath>
      </m:oMathPara>
    </w:p>
    <w:p w14:paraId="78F87C0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High precision indicates a low false positive rate, which means fewer non-churning customers are incorrectly identified as churners.</w:t>
      </w:r>
    </w:p>
    <w:p w14:paraId="6FBAFE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Recall</w:t>
      </w:r>
    </w:p>
    <w:p w14:paraId="73B796E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Recall, also known as sensitivity or true positive rate, measures the ratio of correctly predicted positive instances to all actual positive instances. It is critical when the cost of false negatives is high, meaning it captures how well the model identifies actual churners.</w:t>
      </w:r>
    </w:p>
    <w:p w14:paraId="46A5E6F2">
      <w:pPr>
        <w:pStyle w:val="258"/>
        <w:spacing w:after="0" w:line="360" w:lineRule="auto"/>
        <w:jc w:val="center"/>
        <w:rPr>
          <w:rFonts w:hint="default" w:ascii="Times New Roman" w:hAnsi="Times New Roman" w:cs="Times New Roman"/>
          <w:sz w:val="24"/>
          <w:szCs w:val="24"/>
          <w:lang w:val="en-US"/>
        </w:rPr>
      </w:pPr>
      <m:oMathPara>
        <m:oMath>
          <m:r>
            <m:rPr>
              <m:sty m:val="b"/>
            </m:rPr>
            <w:rPr>
              <w:rFonts w:hint="default" w:ascii="Cambria Math" w:hAnsi="Cambria Math" w:cs="Times New Roman"/>
              <w:sz w:val="24"/>
              <w:szCs w:val="24"/>
              <w:lang w:val="en-US"/>
            </w:rPr>
            <m:t>Recall=</m:t>
          </m:r>
          <m:f>
            <m:fPr>
              <m:ctrlPr>
                <w:rPr>
                  <w:rFonts w:ascii="Cambria Math" w:hAnsi="Cambria Math" w:cs="Times New Roman"/>
                  <w:b/>
                  <w:bCs/>
                  <w:i/>
                  <w:sz w:val="24"/>
                  <w:szCs w:val="24"/>
                </w:rPr>
              </m:ctrlPr>
            </m:fPr>
            <m:num>
              <m:r>
                <m:rPr>
                  <m:sty m:val="bi"/>
                </m:rPr>
                <w:rPr>
                  <w:rFonts w:hint="default" w:ascii="Cambria Math" w:hAnsi="Cambria Math" w:cs="Times New Roman"/>
                  <w:sz w:val="24"/>
                  <w:szCs w:val="24"/>
                </w:rPr>
                <m:t>True Positives (TP)</m:t>
              </m:r>
              <m:ctrlPr>
                <w:rPr>
                  <w:rFonts w:ascii="Cambria Math" w:hAnsi="Cambria Math" w:cs="Times New Roman"/>
                  <w:b/>
                  <w:bCs/>
                  <w:i/>
                  <w:sz w:val="24"/>
                  <w:szCs w:val="24"/>
                </w:rPr>
              </m:ctrlPr>
            </m:num>
            <m:den>
              <m:r>
                <m:rPr>
                  <m:sty m:val="bi"/>
                </m:rPr>
                <w:rPr>
                  <w:rFonts w:hint="default" w:ascii="Cambria Math" w:hAnsi="Cambria Math" w:cs="Times New Roman"/>
                  <w:sz w:val="24"/>
                  <w:szCs w:val="24"/>
                </w:rPr>
                <m:t>True Positives (TP)</m:t>
              </m:r>
              <m:r>
                <m:rPr>
                  <m:sty m:val="bi"/>
                </m:rPr>
                <w:rPr>
                  <w:rFonts w:hint="default" w:ascii="Cambria Math" w:hAnsi="Cambria Math" w:cs="Times New Roman"/>
                  <w:sz w:val="24"/>
                  <w:szCs w:val="24"/>
                  <w:lang w:val="en-US"/>
                </w:rPr>
                <m:t xml:space="preserve"> </m:t>
              </m:r>
              <m:r>
                <m:rPr>
                  <m:sty m:val="bi"/>
                </m:rPr>
                <w:rPr>
                  <w:rFonts w:ascii="Cambria Math" w:hAnsi="Cambria Math" w:cs="Times New Roman"/>
                  <w:sz w:val="24"/>
                  <w:szCs w:val="24"/>
                </w:rPr>
                <m:t>+</m:t>
              </m:r>
              <m:r>
                <m:rPr>
                  <m:sty m:val="bi"/>
                </m:rPr>
                <w:rPr>
                  <w:rFonts w:hint="default" w:ascii="Cambria Math" w:hAnsi="Cambria Math" w:cs="Times New Roman"/>
                  <w:sz w:val="24"/>
                  <w:szCs w:val="24"/>
                  <w:lang w:val="en-US"/>
                </w:rPr>
                <m:t xml:space="preserve"> </m:t>
              </m:r>
              <m:r>
                <m:rPr>
                  <m:sty m:val="bi"/>
                </m:rPr>
                <w:rPr>
                  <w:rFonts w:hint="default" w:ascii="Cambria Math" w:hAnsi="Cambria Math" w:cs="Times New Roman"/>
                  <w:sz w:val="24"/>
                  <w:szCs w:val="24"/>
                </w:rPr>
                <m:t>False Negatives (FN)</m:t>
              </m:r>
              <m:ctrlPr>
                <w:rPr>
                  <w:rFonts w:ascii="Cambria Math" w:hAnsi="Cambria Math" w:cs="Times New Roman"/>
                  <w:b/>
                  <w:bCs/>
                  <w:i/>
                  <w:sz w:val="24"/>
                  <w:szCs w:val="24"/>
                </w:rPr>
              </m:ctrlPr>
            </m:den>
          </m:f>
        </m:oMath>
      </m:oMathPara>
    </w:p>
    <w:p w14:paraId="6859516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F1-Score</w:t>
      </w:r>
    </w:p>
    <w:p w14:paraId="459424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F1-score is the harmonic mean of precision and recall, providing a single metric that balances both. It is particularly useful when there is a trade-off between precision and recall.</w:t>
      </w:r>
    </w:p>
    <w:p w14:paraId="61E4194F">
      <w:pPr>
        <w:pStyle w:val="258"/>
        <w:spacing w:after="0" w:line="360" w:lineRule="auto"/>
        <w:jc w:val="center"/>
        <w:rPr>
          <w:rFonts w:hint="default" w:ascii="Times New Roman" w:hAnsi="Times New Roman" w:cs="Times New Roman"/>
          <w:sz w:val="24"/>
          <w:szCs w:val="24"/>
          <w:lang w:val="en-US"/>
        </w:rPr>
      </w:pPr>
      <m:oMathPara>
        <m:oMathParaPr>
          <m:jc m:val="center"/>
        </m:oMathParaPr>
        <m:oMath>
          <m:r>
            <m:rPr>
              <m:sty m:val="b"/>
            </m:rPr>
            <w:rPr>
              <w:rFonts w:hint="default" w:ascii="Cambria Math" w:hAnsi="Cambria Math" w:cs="Cambria Math"/>
              <w:sz w:val="24"/>
              <w:szCs w:val="24"/>
              <w:lang w:val="en-US"/>
            </w:rPr>
            <m:t>F1 Score=2</m:t>
          </m:r>
          <m:r>
            <m:rPr>
              <m:sty m:val="b"/>
            </m:rPr>
            <w:rPr>
              <w:rFonts w:ascii="Cambria Math" w:hAnsi="Cambria Math" w:cs="Cambria Math"/>
              <w:sz w:val="24"/>
              <w:szCs w:val="24"/>
              <w:lang w:val="en-US"/>
            </w:rPr>
            <m:t>×</m:t>
          </m:r>
          <m:f>
            <m:fPr>
              <m:ctrlPr>
                <w:rPr>
                  <w:rFonts w:ascii="Cambria Math" w:hAnsi="Cambria Math" w:cs="Cambria Math"/>
                  <w:b/>
                  <w:bCs/>
                  <w:i/>
                  <w:sz w:val="24"/>
                  <w:szCs w:val="24"/>
                </w:rPr>
              </m:ctrlPr>
            </m:fPr>
            <m:num>
              <m:r>
                <m:rPr>
                  <m:sty m:val="bi"/>
                </m:rPr>
                <w:rPr>
                  <w:rFonts w:hint="default" w:ascii="Cambria Math" w:hAnsi="Cambria Math" w:cs="Cambria Math"/>
                  <w:sz w:val="24"/>
                  <w:szCs w:val="24"/>
                </w:rPr>
                <m:t>Pre</m:t>
              </m:r>
              <m:r>
                <m:rPr>
                  <m:sty m:val="bi"/>
                </m:rPr>
                <w:rPr>
                  <w:rFonts w:hint="default" w:ascii="Cambria Math" w:hAnsi="Cambria Math" w:cs="Cambria Math"/>
                  <w:sz w:val="24"/>
                  <w:szCs w:val="24"/>
                  <w:lang w:val="en-US"/>
                </w:rPr>
                <m:t xml:space="preserve">cision </m:t>
              </m:r>
              <m:r>
                <m:rPr>
                  <m:sty m:val="bi"/>
                </m:rPr>
                <w:rPr>
                  <w:rFonts w:ascii="Cambria Math" w:hAnsi="Cambria Math" w:cs="Cambria Math"/>
                  <w:sz w:val="24"/>
                  <w:szCs w:val="24"/>
                  <w:lang w:val="en-US"/>
                </w:rPr>
                <m:t>×</m:t>
              </m:r>
              <m:r>
                <m:rPr>
                  <m:sty m:val="bi"/>
                </m:rPr>
                <w:rPr>
                  <w:rFonts w:hint="default" w:ascii="Cambria Math" w:hAnsi="Cambria Math" w:cs="Cambria Math"/>
                  <w:sz w:val="24"/>
                  <w:szCs w:val="24"/>
                  <w:lang w:val="en-US"/>
                </w:rPr>
                <m:t xml:space="preserve"> </m:t>
              </m:r>
              <m:r>
                <m:rPr>
                  <m:sty m:val="bi"/>
                </m:rPr>
                <w:rPr>
                  <w:rFonts w:hint="default" w:ascii="Cambria Math" w:hAnsi="Cambria Math" w:cs="Cambria Math"/>
                  <w:sz w:val="24"/>
                  <w:szCs w:val="24"/>
                </w:rPr>
                <m:t>Recall</m:t>
              </m:r>
              <m:ctrlPr>
                <w:rPr>
                  <w:rFonts w:ascii="Cambria Math" w:hAnsi="Cambria Math" w:cs="Cambria Math"/>
                  <w:b/>
                  <w:bCs/>
                  <w:i/>
                  <w:sz w:val="24"/>
                  <w:szCs w:val="24"/>
                </w:rPr>
              </m:ctrlPr>
            </m:num>
            <m:den>
              <m:r>
                <m:rPr>
                  <m:sty m:val="bi"/>
                </m:rPr>
                <w:rPr>
                  <w:rFonts w:hint="default" w:ascii="Cambria Math" w:hAnsi="Cambria Math" w:cs="Cambria Math"/>
                  <w:sz w:val="24"/>
                  <w:szCs w:val="24"/>
                </w:rPr>
                <m:t>Pre</m:t>
              </m:r>
              <m:r>
                <m:rPr>
                  <m:sty m:val="bi"/>
                </m:rPr>
                <w:rPr>
                  <w:rFonts w:hint="default" w:ascii="Cambria Math" w:hAnsi="Cambria Math" w:cs="Cambria Math"/>
                  <w:sz w:val="24"/>
                  <w:szCs w:val="24"/>
                  <w:lang w:val="en-US"/>
                </w:rPr>
                <m:t xml:space="preserve">cision </m:t>
              </m:r>
              <m:r>
                <m:rPr>
                  <m:sty m:val="bi"/>
                </m:rPr>
                <w:rPr>
                  <w:rFonts w:ascii="Cambria Math" w:hAnsi="Cambria Math" w:cs="Cambria Math"/>
                  <w:sz w:val="24"/>
                  <w:szCs w:val="24"/>
                </w:rPr>
                <m:t>+</m:t>
              </m:r>
              <m:r>
                <m:rPr>
                  <m:sty m:val="bi"/>
                </m:rPr>
                <w:rPr>
                  <w:rFonts w:hint="default" w:ascii="Cambria Math" w:hAnsi="Cambria Math" w:cs="Cambria Math"/>
                  <w:sz w:val="24"/>
                  <w:szCs w:val="24"/>
                  <w:lang w:val="en-US"/>
                </w:rPr>
                <m:t xml:space="preserve"> </m:t>
              </m:r>
              <m:r>
                <m:rPr>
                  <m:sty m:val="bi"/>
                </m:rPr>
                <w:rPr>
                  <w:rFonts w:hint="default" w:ascii="Cambria Math" w:hAnsi="Cambria Math" w:cs="Cambria Math"/>
                  <w:sz w:val="24"/>
                  <w:szCs w:val="24"/>
                </w:rPr>
                <m:t>Recall</m:t>
              </m:r>
              <m:ctrlPr>
                <w:rPr>
                  <w:rFonts w:ascii="Cambria Math" w:hAnsi="Cambria Math" w:cs="Cambria Math"/>
                  <w:b/>
                  <w:bCs/>
                  <w:i/>
                  <w:sz w:val="24"/>
                  <w:szCs w:val="24"/>
                </w:rPr>
              </m:ctrlPr>
            </m:den>
          </m:f>
        </m:oMath>
      </m:oMathPara>
    </w:p>
    <w:p w14:paraId="481056B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 high F1-score indicates that the model has both high precision and high recall, which is crucial for effective churn prediction.</w:t>
      </w:r>
    </w:p>
    <w:p w14:paraId="35DAE1B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ROC-AUC (Receiver Operating Characteristic - Area Under Curve)</w:t>
      </w:r>
    </w:p>
    <w:p w14:paraId="291268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ROC curve is a graphical representation of a model's diagnostic ability. It plots the true positive rate (recall) against the false positive rate (1-specificity) at various threshold settings. The Area Under the ROC Curve (AUC) quantifies the overall ability of the model to discriminate between positive and negative classes.</w:t>
      </w:r>
    </w:p>
    <w:p w14:paraId="4230648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ROC Curve</w:t>
      </w:r>
    </w:p>
    <w:p w14:paraId="558D093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ROC curve shows the trade-off between sensitivity (recall) and specificity (true negative rate). A model with a curve closer to the top-left corner indicates better performance.</w:t>
      </w:r>
    </w:p>
    <w:p w14:paraId="1EA6BC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AUC</w:t>
      </w:r>
    </w:p>
    <w:p w14:paraId="7DAA89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AUC score ranges from 0 to 1, with a higher value indicating better performance. An AUC of 0.5 suggests a model with no discriminatory power, equivalent to random guessing, while an AUC of 1 indicates perfect discrimination.</w:t>
      </w:r>
    </w:p>
    <w:p w14:paraId="7BF1151B">
      <w:pPr>
        <w:pStyle w:val="258"/>
        <w:spacing w:after="0" w:line="360" w:lineRule="auto"/>
        <w:jc w:val="center"/>
        <w:rPr>
          <w:rFonts w:hint="default" w:ascii="Times New Roman" w:hAnsi="Times New Roman" w:cs="Times New Roman"/>
          <w:b/>
          <w:bCs/>
          <w:sz w:val="24"/>
          <w:szCs w:val="24"/>
          <w:lang w:val="en-US"/>
        </w:rPr>
      </w:pPr>
      <m:oMathPara>
        <m:oMathParaPr>
          <m:jc m:val="center"/>
        </m:oMathParaPr>
        <m:oMath>
          <m:r>
            <m:rPr>
              <m:sty m:val="b"/>
            </m:rPr>
            <w:rPr>
              <w:rFonts w:hint="default" w:ascii="Cambria Math" w:hAnsi="Cambria Math" w:cs="Times New Roman"/>
              <w:sz w:val="24"/>
              <w:szCs w:val="24"/>
              <w:lang w:val="en-US"/>
            </w:rPr>
            <m:t>AUC =</m:t>
          </m:r>
          <m:nary>
            <m:naryPr>
              <m:limLoc m:val="subSup"/>
              <m:ctrlPr>
                <w:rPr>
                  <w:rFonts w:ascii="Cambria Math" w:hAnsi="Cambria Math" w:cs="Times New Roman"/>
                  <w:b/>
                  <w:bCs/>
                  <w:i/>
                  <w:sz w:val="24"/>
                  <w:szCs w:val="24"/>
                </w:rPr>
              </m:ctrlPr>
            </m:naryPr>
            <m:sub>
              <m:r>
                <m:rPr>
                  <m:sty m:val="bi"/>
                </m:rPr>
                <w:rPr>
                  <w:rFonts w:hint="default" w:ascii="Cambria Math" w:hAnsi="Cambria Math" w:cs="Times New Roman"/>
                  <w:sz w:val="24"/>
                  <w:szCs w:val="24"/>
                </w:rPr>
                <m:t>0</m:t>
              </m:r>
              <m:ctrlPr>
                <w:rPr>
                  <w:rFonts w:ascii="Cambria Math" w:hAnsi="Cambria Math" w:cs="Times New Roman"/>
                  <w:b/>
                  <w:bCs/>
                  <w:i/>
                  <w:sz w:val="24"/>
                  <w:szCs w:val="24"/>
                </w:rPr>
              </m:ctrlPr>
            </m:sub>
            <m:sup>
              <m:r>
                <m:rPr>
                  <m:sty m:val="bi"/>
                </m:rPr>
                <w:rPr>
                  <w:rFonts w:hint="default" w:ascii="Cambria Math" w:hAnsi="Cambria Math" w:cs="Times New Roman"/>
                  <w:sz w:val="24"/>
                  <w:szCs w:val="24"/>
                </w:rPr>
                <m:t>1</m:t>
              </m:r>
              <m:ctrlPr>
                <w:rPr>
                  <w:rFonts w:ascii="Cambria Math" w:hAnsi="Cambria Math" w:cs="Times New Roman"/>
                  <w:b/>
                  <w:bCs/>
                  <w:i/>
                  <w:sz w:val="24"/>
                  <w:szCs w:val="24"/>
                </w:rPr>
              </m:ctrlPr>
            </m:sup>
            <m:e>
              <m:r>
                <m:rPr>
                  <m:sty m:val="bi"/>
                </m:rPr>
                <w:rPr>
                  <w:rFonts w:hint="default" w:ascii="Cambria Math" w:hAnsi="Cambria Math" w:cs="Times New Roman"/>
                  <w:sz w:val="24"/>
                  <w:szCs w:val="24"/>
                </w:rPr>
                <m:t>ROC</m:t>
              </m:r>
              <m:d>
                <m:dPr>
                  <m:ctrlPr>
                    <w:rPr>
                      <w:rFonts w:ascii="Cambria Math" w:hAnsi="Cambria Math" w:cs="Times New Roman"/>
                      <w:b/>
                      <w:bCs/>
                      <w:i/>
                      <w:sz w:val="24"/>
                      <w:szCs w:val="24"/>
                    </w:rPr>
                  </m:ctrlPr>
                </m:dPr>
                <m:e>
                  <m:r>
                    <m:rPr>
                      <m:sty m:val="bi"/>
                    </m:rPr>
                    <w:rPr>
                      <w:rFonts w:hint="default" w:ascii="Cambria Math" w:hAnsi="Cambria Math" w:cs="Times New Roman"/>
                      <w:sz w:val="24"/>
                      <w:szCs w:val="24"/>
                    </w:rPr>
                    <m:t>t</m:t>
                  </m:r>
                  <m:ctrlPr>
                    <w:rPr>
                      <w:rFonts w:ascii="Cambria Math" w:hAnsi="Cambria Math" w:cs="Times New Roman"/>
                      <w:b/>
                      <w:bCs/>
                      <w:i/>
                      <w:sz w:val="24"/>
                      <w:szCs w:val="24"/>
                    </w:rPr>
                  </m:ctrlPr>
                </m:e>
              </m:d>
              <m:ctrlPr>
                <w:rPr>
                  <w:rFonts w:ascii="Cambria Math" w:hAnsi="Cambria Math" w:cs="Times New Roman"/>
                  <w:b/>
                  <w:bCs/>
                  <w:i/>
                  <w:sz w:val="24"/>
                  <w:szCs w:val="24"/>
                </w:rPr>
              </m:ctrlPr>
            </m:e>
          </m:nary>
          <m:r>
            <m:rPr>
              <m:sty m:val="bi"/>
            </m:rPr>
            <w:rPr>
              <w:rFonts w:hint="default" w:ascii="Cambria Math" w:hAnsi="Cambria Math" w:cs="Times New Roman" w:eastAsiaTheme="minorEastAsia"/>
              <w:sz w:val="24"/>
              <w:szCs w:val="24"/>
            </w:rPr>
            <m:t>dt</m:t>
          </m:r>
        </m:oMath>
      </m:oMathPara>
    </w:p>
    <w:p w14:paraId="0AE78B1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AUC is particularly useful for evaluating models when there is a class imbalance, as it provides a single value to compare different models.</w:t>
      </w:r>
    </w:p>
    <w:p w14:paraId="6FCF269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Cross-Validation Techniques</w:t>
      </w:r>
    </w:p>
    <w:p w14:paraId="7907CAF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Cross-validation is a robust technique to evaluate the </w:t>
      </w:r>
      <w:r>
        <w:rPr>
          <w:rFonts w:ascii="Times New Roman" w:hAnsi="Times New Roman" w:cs="Times New Roman"/>
          <w:sz w:val="24"/>
          <w:szCs w:val="24"/>
          <w:lang w:val="en-US"/>
        </w:rPr>
        <w:t>generalization</w:t>
      </w:r>
      <w:r>
        <w:rPr>
          <w:rFonts w:ascii="Times New Roman" w:hAnsi="Times New Roman" w:cs="Times New Roman"/>
          <w:sz w:val="24"/>
          <w:szCs w:val="24"/>
        </w:rPr>
        <w:t xml:space="preserve"> of a model by partitioning the data into multiple subsets and testing the model on different subsets. Common cross-validation methods include:</w:t>
      </w:r>
    </w:p>
    <w:p w14:paraId="3B023F6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K-Fold Cross-Validation</w:t>
      </w:r>
    </w:p>
    <w:p w14:paraId="6047D60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k-fold cross-validation, the dataset is randomly partitioned into k equally sized folds. The model is trained on k-1 folds and tested on the remaining fold. This process is repeated k times, with each fold used as the test set once. The final evaluation metric is the average of the metrics from each fold.</w:t>
      </w:r>
    </w:p>
    <w:p w14:paraId="16E01F1A">
      <w:pPr>
        <w:pStyle w:val="258"/>
        <w:spacing w:after="0" w:line="360" w:lineRule="auto"/>
        <w:jc w:val="center"/>
        <w:rPr>
          <w:rFonts w:hint="default" w:ascii="Times New Roman" w:hAnsi="Times New Roman" w:cs="Times New Roman"/>
          <w:sz w:val="24"/>
          <w:szCs w:val="24"/>
          <w:lang w:val="en-US"/>
        </w:rPr>
      </w:pPr>
      <m:oMathPara>
        <m:oMathParaPr>
          <m:jc m:val="center"/>
        </m:oMathParaPr>
        <m:oMath>
          <m:r>
            <m:rPr>
              <m:sty m:val="b"/>
            </m:rPr>
            <w:rPr>
              <w:rFonts w:hint="default" w:ascii="Cambria Math" w:hAnsi="Cambria Math" w:cs="Times New Roman"/>
              <w:sz w:val="24"/>
              <w:szCs w:val="24"/>
            </w:rPr>
            <m:t>CV Accuracy</m:t>
          </m:r>
          <m:r>
            <m:rPr>
              <m:sty m:val="b"/>
            </m:rPr>
            <w:rPr>
              <w:rFonts w:hint="default" w:ascii="Cambria Math" w:hAnsi="Cambria Math" w:cs="Times New Roman"/>
              <w:sz w:val="24"/>
              <w:szCs w:val="24"/>
              <w:lang w:val="en-US"/>
            </w:rPr>
            <m:t>=</m:t>
          </m:r>
          <m:f>
            <m:fPr>
              <m:ctrlPr>
                <w:rPr>
                  <w:rFonts w:ascii="Cambria Math" w:hAnsi="Cambria Math" w:cs="Times New Roman"/>
                  <w:b/>
                  <w:bCs/>
                  <w:i/>
                  <w:sz w:val="24"/>
                  <w:szCs w:val="24"/>
                </w:rPr>
              </m:ctrlPr>
            </m:fPr>
            <m:num>
              <m:r>
                <m:rPr>
                  <m:sty m:val="bi"/>
                </m:rPr>
                <w:rPr>
                  <w:rFonts w:hint="default" w:ascii="Cambria Math" w:hAnsi="Cambria Math" w:cs="Times New Roman"/>
                  <w:sz w:val="24"/>
                  <w:szCs w:val="24"/>
                </w:rPr>
                <m:t>1</m:t>
              </m:r>
              <m:ctrlPr>
                <w:rPr>
                  <w:rFonts w:ascii="Cambria Math" w:hAnsi="Cambria Math" w:cs="Times New Roman"/>
                  <w:b/>
                  <w:bCs/>
                  <w:i/>
                  <w:sz w:val="24"/>
                  <w:szCs w:val="24"/>
                </w:rPr>
              </m:ctrlPr>
            </m:num>
            <m:den>
              <m:r>
                <m:rPr>
                  <m:sty m:val="bi"/>
                </m:rPr>
                <w:rPr>
                  <w:rFonts w:hint="default" w:ascii="Cambria Math" w:hAnsi="Cambria Math" w:cs="Times New Roman"/>
                  <w:sz w:val="24"/>
                  <w:szCs w:val="24"/>
                </w:rPr>
                <m:t>k</m:t>
              </m:r>
              <m:ctrlPr>
                <w:rPr>
                  <w:rFonts w:ascii="Cambria Math" w:hAnsi="Cambria Math" w:cs="Times New Roman"/>
                  <w:b/>
                  <w:bCs/>
                  <w:i/>
                  <w:sz w:val="24"/>
                  <w:szCs w:val="24"/>
                </w:rPr>
              </m:ctrlPr>
            </m:den>
          </m:f>
          <m:nary>
            <m:naryPr>
              <m:chr m:val="∑"/>
              <m:limLoc m:val="undOvr"/>
              <m:ctrlPr>
                <w:rPr>
                  <w:rFonts w:ascii="Cambria Math" w:hAnsi="Cambria Math" w:cs="Times New Roman"/>
                  <w:b/>
                  <w:bCs/>
                  <w:i/>
                  <w:sz w:val="24"/>
                  <w:szCs w:val="24"/>
                </w:rPr>
              </m:ctrlPr>
            </m:naryPr>
            <m:sub>
              <m:r>
                <m:rPr>
                  <m:sty m:val="bi"/>
                </m:rPr>
                <w:rPr>
                  <w:rFonts w:hint="default" w:ascii="Cambria Math" w:hAnsi="Cambria Math" w:cs="Times New Roman"/>
                  <w:sz w:val="24"/>
                  <w:szCs w:val="24"/>
                </w:rPr>
                <m:t>i=1</m:t>
              </m:r>
              <m:ctrlPr>
                <w:rPr>
                  <w:rFonts w:ascii="Cambria Math" w:hAnsi="Cambria Math" w:cs="Times New Roman"/>
                  <w:b/>
                  <w:bCs/>
                  <w:i/>
                  <w:sz w:val="24"/>
                  <w:szCs w:val="24"/>
                </w:rPr>
              </m:ctrlPr>
            </m:sub>
            <m:sup>
              <m:r>
                <m:rPr>
                  <m:sty m:val="bi"/>
                </m:rPr>
                <w:rPr>
                  <w:rFonts w:hint="default" w:ascii="Cambria Math" w:hAnsi="Cambria Math" w:cs="Times New Roman"/>
                  <w:sz w:val="24"/>
                  <w:szCs w:val="24"/>
                </w:rPr>
                <m:t>k</m:t>
              </m:r>
              <m:ctrlPr>
                <w:rPr>
                  <w:rFonts w:ascii="Cambria Math" w:hAnsi="Cambria Math" w:cs="Times New Roman"/>
                  <w:b/>
                  <w:bCs/>
                  <w:i/>
                  <w:sz w:val="24"/>
                  <w:szCs w:val="24"/>
                </w:rPr>
              </m:ctrlPr>
            </m:sup>
            <m:e>
              <m:sSub>
                <m:sSubPr>
                  <m:ctrlPr>
                    <w:rPr>
                      <w:rFonts w:ascii="Cambria Math" w:hAnsi="Cambria Math" w:cs="Times New Roman"/>
                      <w:b/>
                      <w:bCs/>
                      <w:i/>
                      <w:sz w:val="24"/>
                      <w:szCs w:val="24"/>
                    </w:rPr>
                  </m:ctrlPr>
                </m:sSubPr>
                <m:e>
                  <m:r>
                    <m:rPr>
                      <m:sty m:val="bi"/>
                    </m:rPr>
                    <w:rPr>
                      <w:rFonts w:hint="default" w:ascii="Cambria Math" w:hAnsi="Cambria Math" w:cs="Times New Roman"/>
                      <w:sz w:val="24"/>
                      <w:szCs w:val="24"/>
                      <w:lang w:val="en-US"/>
                    </w:rPr>
                    <m:t>Accuracy</m:t>
                  </m:r>
                  <m:ctrlPr>
                    <w:rPr>
                      <w:rFonts w:ascii="Cambria Math" w:hAnsi="Cambria Math" w:cs="Times New Roman"/>
                      <w:b/>
                      <w:bCs/>
                      <w:i/>
                      <w:sz w:val="24"/>
                      <w:szCs w:val="24"/>
                    </w:rPr>
                  </m:ctrlPr>
                </m:e>
                <m:sub>
                  <m:r>
                    <m:rPr>
                      <m:sty m:val="bi"/>
                    </m:rPr>
                    <w:rPr>
                      <w:rFonts w:hint="default" w:ascii="Cambria Math" w:hAnsi="Cambria Math" w:cs="Times New Roman"/>
                      <w:sz w:val="24"/>
                      <w:szCs w:val="24"/>
                      <w:lang w:val="en-US"/>
                    </w:rPr>
                    <m:t>i</m:t>
                  </m:r>
                  <m:ctrlPr>
                    <w:rPr>
                      <w:rFonts w:ascii="Cambria Math" w:hAnsi="Cambria Math" w:cs="Times New Roman"/>
                      <w:b/>
                      <w:bCs/>
                      <w:i/>
                      <w:sz w:val="24"/>
                      <w:szCs w:val="24"/>
                    </w:rPr>
                  </m:ctrlPr>
                </m:sub>
              </m:sSub>
              <m:ctrlPr>
                <w:rPr>
                  <w:rFonts w:ascii="Cambria Math" w:hAnsi="Cambria Math" w:cs="Times New Roman"/>
                  <w:b/>
                  <w:bCs/>
                  <w:i/>
                  <w:sz w:val="24"/>
                  <w:szCs w:val="24"/>
                </w:rPr>
              </m:ctrlPr>
            </m:e>
          </m:nary>
        </m:oMath>
      </m:oMathPara>
    </w:p>
    <w:p w14:paraId="63E652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K-fold cross-validation helps mitigate </w:t>
      </w:r>
      <w:r>
        <w:rPr>
          <w:rFonts w:ascii="Times New Roman" w:hAnsi="Times New Roman" w:cs="Times New Roman"/>
          <w:sz w:val="24"/>
          <w:szCs w:val="24"/>
          <w:lang w:val="en-US"/>
        </w:rPr>
        <w:t>over-fitting</w:t>
      </w:r>
      <w:r>
        <w:rPr>
          <w:rFonts w:ascii="Times New Roman" w:hAnsi="Times New Roman" w:cs="Times New Roman"/>
          <w:sz w:val="24"/>
          <w:szCs w:val="24"/>
        </w:rPr>
        <w:t xml:space="preserve"> and provides a more accurate estimate of model performance on unseen data.</w:t>
      </w:r>
    </w:p>
    <w:p w14:paraId="1608945C">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Stratified K-Fold Cross-Validation</w:t>
      </w:r>
    </w:p>
    <w:p w14:paraId="623058B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Stratified k-fold cross-validation ensures that each fold has the same proportion of classes as the original dataset. This is particularly important for imbalanced datasets, like churn prediction, to maintain the distribution of churners and non-churners in each fold.</w:t>
      </w:r>
    </w:p>
    <w:p w14:paraId="73C8A01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Leave-One-Out Cross-Validation (LOOCV)</w:t>
      </w:r>
    </w:p>
    <w:p w14:paraId="72B2D8B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LOOCV is a special case of k-fold cross-validation where k is equal to the number of data points in the dataset. The model is trained on all data points except one, which is used as the test set. This process is repeated for each data point. While LOOCV provides an unbiased estimate of model performance, it is computationally expensive for large datasets.</w:t>
      </w:r>
    </w:p>
    <w:p w14:paraId="522FD0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Holdout Method</w:t>
      </w:r>
    </w:p>
    <w:p w14:paraId="0F643BC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holdout method splits the dataset into two parts: a training set and a test set. The model is trained on the training set and evaluated on the test set. While simple, this method can be sensitive to how the data is split, and it does not provide as robust an estimate of model performance as cross-validation.</w:t>
      </w:r>
    </w:p>
    <w:p w14:paraId="135557F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b/>
          <w:bCs/>
          <w:sz w:val="24"/>
          <w:szCs w:val="24"/>
        </w:rPr>
        <w:t>Bootstrap Method</w:t>
      </w:r>
    </w:p>
    <w:p w14:paraId="4C1BA9E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bootstrap method involves sampling the dataset with replacement to create multiple training sets. The model is trained on each bootstrap sample and evaluated on the remaining data points. This technique can provide estimates of the variance of model performance.</w:t>
      </w:r>
    </w:p>
    <w:p w14:paraId="5C526F64">
      <w:pPr>
        <w:pStyle w:val="3"/>
        <w:spacing w:line="360" w:lineRule="auto"/>
        <w:rPr>
          <w:b/>
          <w:bCs/>
        </w:rPr>
      </w:pPr>
      <w:bookmarkStart w:id="11" w:name="_Toc183163336"/>
      <w:r>
        <w:rPr>
          <w:b/>
          <w:bCs/>
        </w:rPr>
        <w:t>2.1</w:t>
      </w:r>
      <w:r>
        <w:rPr>
          <w:rFonts w:hint="default"/>
          <w:b/>
          <w:bCs/>
          <w:lang w:val="en-US"/>
        </w:rPr>
        <w:t>1</w:t>
      </w:r>
      <w:r>
        <w:rPr>
          <w:rFonts w:hint="default"/>
          <w:b/>
          <w:bCs/>
          <w:lang w:val="en-US"/>
        </w:rPr>
        <w:tab/>
      </w:r>
      <w:r>
        <w:rPr>
          <w:b/>
          <w:bCs/>
        </w:rPr>
        <w:t>Challenges and Limitations in Churn Prediction</w:t>
      </w:r>
      <w:bookmarkEnd w:id="11"/>
    </w:p>
    <w:p w14:paraId="6188330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Predicting customer churn in the telecommunications industry presents several challenges and limitations that can significantly impact the accuracy and effectiveness of churn prediction models. These challenges include data quality and availability, model interpretability, and handling class imbalance.</w:t>
      </w:r>
    </w:p>
    <w:p w14:paraId="411B973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Data Quality and Availability</w:t>
      </w:r>
    </w:p>
    <w:p w14:paraId="5A85383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Incomplete and Inconsistent Data:</w:t>
      </w:r>
      <w:r>
        <w:rPr>
          <w:rFonts w:ascii="Times New Roman" w:hAnsi="Times New Roman" w:cs="Times New Roman"/>
          <w:sz w:val="24"/>
          <w:szCs w:val="24"/>
        </w:rPr>
        <w:t xml:space="preserve"> One of the primary challenges in churn prediction is ensuring high-quality data. Data collected from various sources may be incomplete or inconsistent. For instance, customer data might have missing values for important attributes like billing information or usage patterns. Incomplete data can lead to inaccurate predictions, as the model may not have enough information to accurately classify customers as likely churners or non-churners (Xu et al., 2020).</w:t>
      </w:r>
    </w:p>
    <w:p w14:paraId="43C9FC3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Data Integration from Multiple Sources:</w:t>
      </w:r>
      <w:r>
        <w:rPr>
          <w:rFonts w:ascii="Times New Roman" w:hAnsi="Times New Roman" w:cs="Times New Roman"/>
          <w:sz w:val="24"/>
          <w:szCs w:val="24"/>
        </w:rPr>
        <w:t xml:space="preserve"> Telecommunications companies often collect data from multiple sources such as call records, billing systems, customer service interactions, and social media. Integrating this data into a single cohesive dataset is complex and can introduce errors if not managed properly. Discrepancies between different data sources can lead to inconsistencies that affect the model’s performance (Moro et al., 2019).</w:t>
      </w:r>
    </w:p>
    <w:p w14:paraId="36DD448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Timeliness of Data:</w:t>
      </w:r>
      <w:r>
        <w:rPr>
          <w:rFonts w:ascii="Times New Roman" w:hAnsi="Times New Roman" w:cs="Times New Roman"/>
          <w:sz w:val="24"/>
          <w:szCs w:val="24"/>
        </w:rPr>
        <w:t xml:space="preserve"> The predictive power of churn models is highly dependent on the timeliness of the data. Data that is outdated may not accurately reflect current customer behavior. For instance, a customer’s usage patterns may have changed significantly since the data was collected, leading to incorrect predictions. Ensuring real-time or near-real-time data availability is crucial for accurate churn prediction (Amin et al., 2019).</w:t>
      </w:r>
    </w:p>
    <w:p w14:paraId="619A257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Data Privacy and Security:</w:t>
      </w:r>
      <w:r>
        <w:rPr>
          <w:rFonts w:ascii="Times New Roman" w:hAnsi="Times New Roman" w:cs="Times New Roman"/>
          <w:sz w:val="24"/>
          <w:szCs w:val="24"/>
        </w:rPr>
        <w:t xml:space="preserve"> Collecting and utilizing customer data for churn prediction raises privacy and security concerns. Companies must ensure compliance with data protection regulations such as the General Data Protection Regulation (GDPR) in Europe or the Nigeria Data Protection Regulation (NDPR) in Nigeria. These regulations impose strict requirements on data collection, storage, and usage, which can limit the availability of data for churn prediction models (Kantarcioglu et al., 2020).</w:t>
      </w:r>
    </w:p>
    <w:p w14:paraId="719C11D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Model Interpretability</w:t>
      </w:r>
    </w:p>
    <w:p w14:paraId="0B64FCC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Complexity of Machine Learning Models:</w:t>
      </w:r>
      <w:r>
        <w:rPr>
          <w:rFonts w:ascii="Times New Roman" w:hAnsi="Times New Roman" w:cs="Times New Roman"/>
          <w:sz w:val="24"/>
          <w:szCs w:val="24"/>
        </w:rPr>
        <w:t xml:space="preserve"> Advanced machine learning models like deep learning and ensemble methods are often seen as "black boxes" due to their complexity. These models can capture intricate patterns in the data, but their decision-making process is not easily interpretable. For instance, a neural network with multiple hidden layers can provide accurate predictions but understanding why a particular customer is predicted to churn can be challenging (Rudin, 2019).</w:t>
      </w:r>
    </w:p>
    <w:p w14:paraId="3C426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Regulatory Requirements:</w:t>
      </w:r>
      <w:r>
        <w:rPr>
          <w:rFonts w:ascii="Times New Roman" w:hAnsi="Times New Roman" w:cs="Times New Roman"/>
          <w:sz w:val="24"/>
          <w:szCs w:val="24"/>
        </w:rPr>
        <w:t xml:space="preserve"> In industries like telecommunications, regulatory bodies may require explanations for automated decisions, especially those affecting customer relations. Lack of interpretability in churn prediction models can make it difficult for companies to comply with these regulations. Transparent models, such as decision trees, are preferred in such scenarios, but they may not always provide the best predictive performance (Molnar, 2020).</w:t>
      </w:r>
    </w:p>
    <w:p w14:paraId="5B7A656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Trust and Adoption by Stakeholders:</w:t>
      </w:r>
      <w:r>
        <w:rPr>
          <w:rFonts w:ascii="Times New Roman" w:hAnsi="Times New Roman" w:cs="Times New Roman"/>
          <w:sz w:val="24"/>
          <w:szCs w:val="24"/>
        </w:rPr>
        <w:t xml:space="preserve"> For churn prediction models to be effectively used by marketing and customer service teams, they need to be trusted by these stakeholders. If the model's predictions and underlying logic are not transparent, stakeholders may be hesitant to rely on the model's recommendations. Ensuring that the models are interpretable can help build trust and facilitate adoption (Lipton, 2018).</w:t>
      </w:r>
    </w:p>
    <w:p w14:paraId="0191E34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Handling Class Imbalance</w:t>
      </w:r>
    </w:p>
    <w:p w14:paraId="54C9357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Imbalance in Churn Data:</w:t>
      </w:r>
      <w:r>
        <w:rPr>
          <w:rFonts w:ascii="Times New Roman" w:hAnsi="Times New Roman" w:cs="Times New Roman"/>
          <w:sz w:val="24"/>
          <w:szCs w:val="24"/>
        </w:rPr>
        <w:t xml:space="preserve"> Customer churn datasets are often imbalanced, with a small percentage of customers actually churning compared to the majority who stay. This imbalance poses a significant challenge for machine learning models, which may become biased towards the majority class and fail to accurately identify churners (He and Garcia, 2019).</w:t>
      </w:r>
    </w:p>
    <w:p w14:paraId="46142CA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Impact on Model Performance:</w:t>
      </w:r>
      <w:r>
        <w:rPr>
          <w:rFonts w:ascii="Times New Roman" w:hAnsi="Times New Roman" w:cs="Times New Roman"/>
          <w:sz w:val="24"/>
          <w:szCs w:val="24"/>
        </w:rPr>
        <w:t xml:space="preserve"> Standard machine learning algorithms tend to perform poorly on imbalanced datasets because they assume an equal distribution of classes. This can result in high accuracy but low recall for the minority class (churners). In churn prediction, the goal is to identify as many churners as possible, making recall a critical metric (Krawczyk, 2016).</w:t>
      </w:r>
    </w:p>
    <w:p w14:paraId="0F0210F6">
      <w:pPr>
        <w:pStyle w:val="3"/>
        <w:spacing w:line="360" w:lineRule="auto"/>
        <w:rPr>
          <w:b/>
          <w:bCs/>
        </w:rPr>
      </w:pPr>
      <w:bookmarkStart w:id="12" w:name="_Toc183163337"/>
      <w:r>
        <w:rPr>
          <w:b/>
          <w:bCs/>
        </w:rPr>
        <w:t>2.1</w:t>
      </w:r>
      <w:r>
        <w:rPr>
          <w:rFonts w:hint="default"/>
          <w:b/>
          <w:bCs/>
          <w:lang w:val="en-US"/>
        </w:rPr>
        <w:t>2</w:t>
      </w:r>
      <w:r>
        <w:rPr>
          <w:rFonts w:hint="default"/>
          <w:b/>
          <w:bCs/>
          <w:lang w:val="en-US"/>
        </w:rPr>
        <w:tab/>
      </w:r>
      <w:r>
        <w:rPr>
          <w:b/>
          <w:bCs/>
        </w:rPr>
        <w:t>Case Studies and Applications</w:t>
      </w:r>
      <w:bookmarkEnd w:id="12"/>
    </w:p>
    <w:p w14:paraId="5D515E5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field of customer churn prediction has seen various successful implementations and research endeavors in the telecommunications industry. These case studies offer valuable insights into effective strategies for managing customer churn and highlight lessons learned from real-world applications of machine learning techniques. This section reviews notable research and case studies, focusing on their methodologies, outcomes, and implications for future churn prediction efforts.</w:t>
      </w:r>
    </w:p>
    <w:p w14:paraId="159E3469">
      <w:pPr>
        <w:pStyle w:val="3"/>
        <w:spacing w:line="360" w:lineRule="auto"/>
        <w:rPr>
          <w:b/>
          <w:bCs/>
        </w:rPr>
      </w:pPr>
      <w:bookmarkStart w:id="13" w:name="_Toc183163338"/>
      <w:r>
        <w:rPr>
          <w:b/>
          <w:bCs/>
        </w:rPr>
        <w:t>2.1</w:t>
      </w:r>
      <w:r>
        <w:rPr>
          <w:rFonts w:hint="default"/>
          <w:b/>
          <w:bCs/>
          <w:lang w:val="en-US"/>
        </w:rPr>
        <w:t>2</w:t>
      </w:r>
      <w:r>
        <w:rPr>
          <w:b/>
          <w:bCs/>
        </w:rPr>
        <w:t>.</w:t>
      </w:r>
      <w:r>
        <w:rPr>
          <w:rFonts w:hint="default"/>
          <w:b/>
          <w:bCs/>
          <w:lang w:val="en-US"/>
        </w:rPr>
        <w:t xml:space="preserve">1 </w:t>
      </w:r>
      <w:r>
        <w:rPr>
          <w:b/>
          <w:bCs/>
        </w:rPr>
        <w:t>Review of Case Studies in</w:t>
      </w:r>
      <w:r>
        <w:rPr>
          <w:rFonts w:hint="default"/>
          <w:b/>
          <w:bCs/>
          <w:lang w:val="en-US"/>
        </w:rPr>
        <w:t xml:space="preserve"> </w:t>
      </w:r>
      <w:r>
        <w:rPr>
          <w:b/>
          <w:bCs/>
        </w:rPr>
        <w:t>Telecommunications</w:t>
      </w:r>
      <w:bookmarkEnd w:id="13"/>
    </w:p>
    <w:p w14:paraId="714D6813">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Case Study 1: Vodafone’s Churn Prediction Model</w:t>
      </w:r>
    </w:p>
    <w:p w14:paraId="419E892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Vodafone, a leading global telecommunications provider, implemented a churn prediction model to better understand and mitigate customer attrition. The model utilized a range of machine learning techniques, including logistic regression, decision trees, and random forests, to predict customer churn based on features such as customer demographics, service usage patterns, and billing information (Kshetri, 2017).</w:t>
      </w:r>
    </w:p>
    <w:p w14:paraId="79FF83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Vodafone’s approach focused on integrating data from multiple sources, including customer service interactions, billing records, and network usage data. They employed ensemble methods to combine the predictions from various models, improving the accuracy of their churn forecasts. The key findings from Vodafone’s experience include the importance of data integration and the effectiveness of ensemble methods in achieving high predictive performance. The company successfully used these insights to develop targeted retention strategies, resulting in a reduction in churn rates by approximately 10% (Kshetri, 2017).</w:t>
      </w:r>
    </w:p>
    <w:p w14:paraId="5A757CEE">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Case Study 2: AT&amp;T’s Use of Machine Learning for Churn Prediction</w:t>
      </w:r>
    </w:p>
    <w:p w14:paraId="6846A2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AT&amp;T, another major player in the telecommunications industry, implemented a machine learning-based churn prediction system to address high customer attrition rates. Their model employed techniques such as support vector machines (SVM) and gradient boosting to analyze customer behavior and predict churn risk (Nguyen and Simkin, 2017).</w:t>
      </w:r>
    </w:p>
    <w:p w14:paraId="78CC8C9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AT&amp;T’s system was designed to analyze large volumes of data, including customer feedback, service usage metrics, and transaction history. The model incorporated feature engineering techniques to extract relevant features from raw data, such as changes in service usage and customer complaints. The application of machine learning methods allowed AT&amp;T to identify at-risk customers more accurately and implement targeted retention initiatives. As a result, AT&amp;T saw a significant improvement in their customer retention efforts and a reduction in churn rates by approximately 12% (Nguyen and Simkin, 2017).</w:t>
      </w:r>
    </w:p>
    <w:p w14:paraId="5A3AF81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Case Study 3: T-Mobile’s Predictive Analytics for Churn Management</w:t>
      </w:r>
    </w:p>
    <w:p w14:paraId="234C65D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T-Mobile, a leading telecommunications provider in the United States and Europe, implemented a predictive analytics model to manage customer churn. T-Mobile’s model utilized various machine learning algorithms, including decision trees, random forests, and neural networks, to predict churn and identify key factors influencing customer decisions (Verhoef et al., 2016).</w:t>
      </w:r>
    </w:p>
    <w:p w14:paraId="44EBE0F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study revealed that the integration of predictive analytics into T-Mobile’s customer management processes led to the development of effective retention strategies, such as personalized offers and targeted marketing campaigns. T-Mobile’s success in reducing churn rates by 15% demonstrated the value of advanced analytics in managing customer relationships and highlighted the importance of continuous model refinement and feature selection (Verhoef et al., 2016).</w:t>
      </w:r>
    </w:p>
    <w:p w14:paraId="28233BB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Case Study 4: O2’s Customer Retention Strategies</w:t>
      </w:r>
    </w:p>
    <w:p w14:paraId="6AB7250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O2, a major telecommunications company in the UK and Ireland, employed a churn prediction model using machine learning techniques such as logistic regression and random forests. The focus of O2’s model was on understanding customer churn patterns and developing retention strategies based on predictive insights (Li and Liu, 2018).</w:t>
      </w:r>
    </w:p>
    <w:p w14:paraId="0F14BBA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O2’s approach involved analyzing customer data to identify churn triggers, such as service disruptions and billing issues. The company used the insights gained from the churn prediction model to develop proactive retention strategies, including targeted promotions and improved customer service. O2’s implementation of these strategies led to a 7% decrease in churn rates and provided valuable lessons on the importance of customer-centric retention efforts (Li and Liu, 2018).</w:t>
      </w:r>
    </w:p>
    <w:p w14:paraId="296F2F3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Successful Implementations and Lessons Learned</w:t>
      </w:r>
    </w:p>
    <w:p w14:paraId="2973F48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case studies reviewed highlight several key lessons for successful churn prediction implementations:</w:t>
      </w:r>
    </w:p>
    <w:p w14:paraId="6078AFD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b/>
          <w:bCs/>
          <w:sz w:val="24"/>
          <w:szCs w:val="24"/>
        </w:rPr>
        <w:t>Importance of Data Quality and Integration:</w:t>
      </w:r>
      <w:r>
        <w:rPr>
          <w:rFonts w:ascii="Times New Roman" w:hAnsi="Times New Roman" w:cs="Times New Roman"/>
          <w:sz w:val="24"/>
          <w:szCs w:val="24"/>
        </w:rPr>
        <w:t xml:space="preserve"> All case studies emphasize the necessity of high-quality, integrated data for effective churn prediction. Ensuring data completeness, consistency, and timeliness is critical for developing accurate models and implementing successful retention strategies (Kshetri, 2017; Nguyen and Simkin, 2017).</w:t>
      </w:r>
    </w:p>
    <w:p w14:paraId="10FDB76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b/>
          <w:bCs/>
          <w:sz w:val="24"/>
          <w:szCs w:val="24"/>
        </w:rPr>
        <w:t>Value of Ensemble Methods and Advanced Algorithms:</w:t>
      </w:r>
      <w:r>
        <w:rPr>
          <w:rFonts w:ascii="Times New Roman" w:hAnsi="Times New Roman" w:cs="Times New Roman"/>
          <w:sz w:val="24"/>
          <w:szCs w:val="24"/>
        </w:rPr>
        <w:t xml:space="preserve"> The use of ensemble methods and advanced machine learning algorithms, such as random forests and gradient boosting, has been a common theme in successful churn prediction models. These techniques provide robust performance and help improve prediction accuracy by combining the strengths of multiple models (Nguyen and Simkin, 2017; Verhoef et al., 2016).</w:t>
      </w:r>
    </w:p>
    <w:p w14:paraId="7072838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b/>
          <w:bCs/>
          <w:sz w:val="24"/>
          <w:szCs w:val="24"/>
        </w:rPr>
        <w:t>Role of Feature Engineering:</w:t>
      </w:r>
      <w:r>
        <w:rPr>
          <w:rFonts w:ascii="Times New Roman" w:hAnsi="Times New Roman" w:cs="Times New Roman"/>
          <w:sz w:val="24"/>
          <w:szCs w:val="24"/>
        </w:rPr>
        <w:t xml:space="preserve"> Effective feature engineering is crucial for developing accurate churn prediction models. The case studies demonstrate that selecting and engineering relevant features, such as service usage patterns and customer complaints, can significantly enhance model performance (Li and Liu, 2018; Verhoef et al., 2016).</w:t>
      </w:r>
    </w:p>
    <w:p w14:paraId="742D7F7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b/>
          <w:bCs/>
          <w:sz w:val="24"/>
          <w:szCs w:val="24"/>
        </w:rPr>
        <w:t>Need for Continuous Model Improvement:</w:t>
      </w:r>
      <w:r>
        <w:rPr>
          <w:rFonts w:ascii="Times New Roman" w:hAnsi="Times New Roman" w:cs="Times New Roman"/>
          <w:sz w:val="24"/>
          <w:szCs w:val="24"/>
        </w:rPr>
        <w:t xml:space="preserve"> Successful churn prediction efforts require ongoing model refinement and adaptation to changing customer behaviors. Regular updates and adjustments to the models ensure that they remain effective in predicting churn and supporting retention strategies (Kshetri, 2017).</w:t>
      </w:r>
    </w:p>
    <w:p w14:paraId="108061A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b/>
          <w:bCs/>
          <w:sz w:val="24"/>
          <w:szCs w:val="24"/>
        </w:rPr>
        <w:t>Effective Use of Predictive Insights:</w:t>
      </w:r>
      <w:r>
        <w:rPr>
          <w:rFonts w:ascii="Times New Roman" w:hAnsi="Times New Roman" w:cs="Times New Roman"/>
          <w:sz w:val="24"/>
          <w:szCs w:val="24"/>
        </w:rPr>
        <w:t xml:space="preserve"> Translating predictive insights into actionable retention strategies is essential for reducing churn. The case studies illustrate that companies can leverage model predictions to develop targeted marketing campaigns, personalized offers, and improved customer service (Nguyen and Simkin, 2017; Li and Liu, 2018).</w:t>
      </w:r>
    </w:p>
    <w:p w14:paraId="282E5680">
      <w:pPr>
        <w:pStyle w:val="3"/>
        <w:spacing w:line="360" w:lineRule="auto"/>
        <w:rPr>
          <w:b/>
          <w:bCs/>
        </w:rPr>
      </w:pPr>
      <w:bookmarkStart w:id="14" w:name="_Toc183163339"/>
      <w:r>
        <w:rPr>
          <w:b/>
          <w:bCs/>
        </w:rPr>
        <w:t>2.1</w:t>
      </w:r>
      <w:r>
        <w:rPr>
          <w:rFonts w:hint="default"/>
          <w:b/>
          <w:bCs/>
          <w:lang w:val="en-US"/>
        </w:rPr>
        <w:t>3</w:t>
      </w:r>
      <w:r>
        <w:rPr>
          <w:rFonts w:hint="default"/>
          <w:b/>
          <w:bCs/>
          <w:lang w:val="en-US"/>
        </w:rPr>
        <w:tab/>
      </w:r>
      <w:r>
        <w:rPr>
          <w:b/>
          <w:bCs/>
        </w:rPr>
        <w:t>Theoretical</w:t>
      </w:r>
      <w:r>
        <w:rPr>
          <w:rFonts w:hint="default"/>
          <w:b/>
          <w:bCs/>
          <w:lang w:val="en-US"/>
        </w:rPr>
        <w:t xml:space="preserve"> Design</w:t>
      </w:r>
      <w:r>
        <w:rPr>
          <w:b/>
          <w:bCs/>
        </w:rPr>
        <w:t xml:space="preserve"> </w:t>
      </w:r>
      <w:r>
        <w:rPr>
          <w:rFonts w:hint="default"/>
          <w:b/>
          <w:bCs/>
          <w:lang w:val="en-US"/>
        </w:rPr>
        <w:t>F</w:t>
      </w:r>
      <w:r>
        <w:rPr>
          <w:b/>
          <w:bCs/>
        </w:rPr>
        <w:t>ramework</w:t>
      </w:r>
      <w:bookmarkEnd w:id="14"/>
    </w:p>
    <w:p w14:paraId="14B92D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Understanding customer churn in the telecommunications industry requires a multifaceted theoretical framework that integrates insights from customer behavior theories, machine learning theories, and information systems theory. This comprehensive approach not only aids in predicting churn but also in developing effective strategies to mitigate it. Each component of this framework contributes uniquely to the overall understanding and solution of the churn problem.</w:t>
      </w:r>
    </w:p>
    <w:p w14:paraId="1F0F1458">
      <w:pPr>
        <w:pStyle w:val="3"/>
        <w:spacing w:line="360" w:lineRule="auto"/>
        <w:rPr>
          <w:b/>
          <w:bCs/>
        </w:rPr>
      </w:pPr>
      <w:bookmarkStart w:id="15" w:name="_Toc183163340"/>
      <w:r>
        <w:rPr>
          <w:b/>
          <w:bCs/>
        </w:rPr>
        <w:t>2.1</w:t>
      </w:r>
      <w:r>
        <w:rPr>
          <w:rFonts w:hint="default"/>
          <w:b/>
          <w:bCs/>
          <w:lang w:val="en-US"/>
        </w:rPr>
        <w:t>3</w:t>
      </w:r>
      <w:r>
        <w:rPr>
          <w:b/>
          <w:bCs/>
        </w:rPr>
        <w:t>.1</w:t>
      </w:r>
      <w:r>
        <w:rPr>
          <w:rFonts w:hint="default"/>
          <w:b/>
          <w:bCs/>
          <w:lang w:val="en-US"/>
        </w:rPr>
        <w:t xml:space="preserve"> </w:t>
      </w:r>
      <w:r>
        <w:rPr>
          <w:b/>
          <w:bCs/>
        </w:rPr>
        <w:t>Customer Behavior Theories</w:t>
      </w:r>
      <w:bookmarkEnd w:id="15"/>
    </w:p>
    <w:p w14:paraId="208C449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behavior theories offer critical insights into the motivations and decisions of customers, which are essential for understanding churn. The Expectancy Disconfirmation Theory suggests that customer satisfaction is influenced by the discrepancy between expected and actual service performance. When actual performance exceeds expectations, customers are satisfied and more likely to remain loyal; when it falls short, dissatisfaction can lead to churn (Oliver, 2019).</w:t>
      </w:r>
    </w:p>
    <w:p w14:paraId="40303FC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Theory of Planned Behavior explains that customer retention is influenced by attitudes towards the service, subjective norms, and perceived behavioral control. This theory highlights the importance of understanding customers' attitudes and social influences to predict their likelihood of remaining with a service (Ajzen, 1991). Furthermore, the Customer Loyalty Theory posits that factors such as trust, commitment, and satisfaction are crucial determinants of loyalty. Building strong, trust-based relationships with customers can significantly reduce churn rates (Dick and Basu, 1994).</w:t>
      </w:r>
    </w:p>
    <w:p w14:paraId="160B96D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Switching Costs Theory suggests that the perceived costs associated with switching to another provider, including financial, time, and psychological costs, influence churn behavior. High switching costs can act as a deterrent to churn, even when customers are not fully satisfied (Burnham, Frels, and Mahajan, 2003).</w:t>
      </w:r>
    </w:p>
    <w:p w14:paraId="55A6EFB4">
      <w:pPr>
        <w:pStyle w:val="3"/>
        <w:spacing w:line="360" w:lineRule="auto"/>
        <w:rPr>
          <w:b/>
          <w:bCs/>
        </w:rPr>
      </w:pPr>
      <w:bookmarkStart w:id="16" w:name="_Toc183163341"/>
      <w:r>
        <w:rPr>
          <w:b/>
          <w:bCs/>
        </w:rPr>
        <w:t>2.1</w:t>
      </w:r>
      <w:r>
        <w:rPr>
          <w:rFonts w:hint="default"/>
          <w:b/>
          <w:bCs/>
          <w:lang w:val="en-US"/>
        </w:rPr>
        <w:t>3</w:t>
      </w:r>
      <w:r>
        <w:rPr>
          <w:b/>
          <w:bCs/>
        </w:rPr>
        <w:t>.2</w:t>
      </w:r>
      <w:r>
        <w:rPr>
          <w:rFonts w:hint="default"/>
          <w:b/>
          <w:bCs/>
          <w:lang w:val="en-US"/>
        </w:rPr>
        <w:t xml:space="preserve"> </w:t>
      </w:r>
      <w:r>
        <w:rPr>
          <w:b/>
          <w:bCs/>
        </w:rPr>
        <w:t>Machine Learning Theories</w:t>
      </w:r>
      <w:bookmarkEnd w:id="16"/>
    </w:p>
    <w:p w14:paraId="0046A3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Machine learning theories are essential for developing predictive models for churn. Supervised Learning Theory involves training models on labeled data to predict outcomes on new data, which is a common approach in churn prediction. Techniques such as decision trees, random forests, support vector machines (SVM), and neural networks are used to identify patterns in historical customer data that indicate a high risk of churn (Bishop, 2006).</w:t>
      </w:r>
    </w:p>
    <w:p w14:paraId="30F3DC2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Unsupervised Learning Theory is also relevant, particularly for clustering customers into segments based on their behavior patterns without predefined labels. This can help identify groups of customers with similar characteristics and churn risks (Hastie, Tibshirani, and Friedman, 2009). Reinforcement Learning Theory, which involves learning optimal strategies through interactions with the environment, can be applied to develop adaptive retention strategies that evolve based on customer behavior (Sutton and Barto, 2018).</w:t>
      </w:r>
    </w:p>
    <w:p w14:paraId="16517E7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Feature Selection and Engineering Theory emphasizes the importance of identifying the most relevant features from the data that contribute to accurate predictions. In churn prediction, features such as customer demographics, usage patterns, and billing information are critical. Effective feature selection enhances model performance by focusing on the most predictive variables (Guyon and Elisseeff, 2003).</w:t>
      </w:r>
    </w:p>
    <w:p w14:paraId="4F6D693B">
      <w:pPr>
        <w:pStyle w:val="3"/>
        <w:spacing w:line="360" w:lineRule="auto"/>
        <w:rPr>
          <w:b/>
          <w:bCs/>
        </w:rPr>
      </w:pPr>
      <w:bookmarkStart w:id="17" w:name="_Toc183163342"/>
      <w:r>
        <w:rPr>
          <w:b/>
          <w:bCs/>
        </w:rPr>
        <w:t>2.1</w:t>
      </w:r>
      <w:r>
        <w:rPr>
          <w:rFonts w:hint="default"/>
          <w:b/>
          <w:bCs/>
          <w:lang w:val="en-US"/>
        </w:rPr>
        <w:t>3</w:t>
      </w:r>
      <w:r>
        <w:rPr>
          <w:b/>
          <w:bCs/>
        </w:rPr>
        <w:t>.3</w:t>
      </w:r>
      <w:r>
        <w:rPr>
          <w:rFonts w:hint="default"/>
          <w:b/>
          <w:bCs/>
          <w:lang w:val="en-US"/>
        </w:rPr>
        <w:t xml:space="preserve"> </w:t>
      </w:r>
      <w:r>
        <w:rPr>
          <w:b/>
          <w:bCs/>
        </w:rPr>
        <w:t>Information Systems Theory</w:t>
      </w:r>
      <w:bookmarkEnd w:id="17"/>
    </w:p>
    <w:p w14:paraId="336AD9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Information Systems Theory provides a broader context for integrating and utilizing predictive models within organizations. The Technology Acceptance Model (TAM) explains the adoption of new technologies based on perceived ease of use and perceived usefulness. For churn prediction models, ensuring that these systems are user-friendly and demonstrate clear benefits is crucial for adoption by telecommunications companies (Davis, 1989).</w:t>
      </w:r>
    </w:p>
    <w:p w14:paraId="252C674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Decision Support Systems (DSS) Theory describes how information systems can support decision-making processes by providing timely, accurate, and relevant information. DSS can integrate churn prediction models to help managers develop targeted retention strategies and make informed decisions.</w:t>
      </w:r>
    </w:p>
    <w:p w14:paraId="338314E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Information Quality Theory emphasizes the importance of high-quality data for reliable predictions. Ensuring data accuracy, completeness, consistency, and timeliness is essential for effective churn prediction models (Wang and Strong, 1996). Robust data management practices are necessary to maintain the integrity and utility of predictive models in telecommunications.</w:t>
      </w:r>
    </w:p>
    <w:p w14:paraId="46C63417">
      <w:pPr>
        <w:pStyle w:val="3"/>
        <w:spacing w:line="360" w:lineRule="auto"/>
        <w:rPr>
          <w:b/>
          <w:bCs/>
        </w:rPr>
      </w:pPr>
      <w:bookmarkStart w:id="18" w:name="_Toc183163343"/>
      <w:r>
        <w:rPr>
          <w:b/>
          <w:bCs/>
        </w:rPr>
        <w:t>2.1</w:t>
      </w:r>
      <w:bookmarkStart w:id="19" w:name="_Hlk184217231"/>
      <w:r>
        <w:rPr>
          <w:rFonts w:hint="default"/>
          <w:b/>
          <w:bCs/>
          <w:lang w:val="en-US"/>
        </w:rPr>
        <w:t>4</w:t>
      </w:r>
      <w:r>
        <w:rPr>
          <w:rFonts w:hint="default"/>
          <w:b/>
          <w:bCs/>
          <w:lang w:val="en-US"/>
        </w:rPr>
        <w:tab/>
      </w:r>
      <w:r>
        <w:rPr>
          <w:b/>
          <w:bCs/>
        </w:rPr>
        <w:t xml:space="preserve">Summary of Related </w:t>
      </w:r>
      <w:r>
        <w:rPr>
          <w:b/>
          <w:bCs/>
          <w:lang w:val="en-US"/>
        </w:rPr>
        <w:t>Literature</w:t>
      </w:r>
      <w:bookmarkEnd w:id="18"/>
    </w:p>
    <w:bookmarkEnd w:id="19"/>
    <w:tbl>
      <w:tblPr>
        <w:tblStyle w:val="12"/>
        <w:tblW w:w="9490"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419"/>
        <w:gridCol w:w="1196"/>
        <w:gridCol w:w="1485"/>
        <w:gridCol w:w="1260"/>
        <w:gridCol w:w="1320"/>
        <w:gridCol w:w="1440"/>
        <w:gridCol w:w="1370"/>
      </w:tblGrid>
      <w:tr w14:paraId="620D2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3CC94374">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Author(s) &amp; Year</w:t>
            </w:r>
          </w:p>
        </w:tc>
        <w:tc>
          <w:tcPr>
            <w:tcW w:w="1166" w:type="dxa"/>
            <w:tcBorders>
              <w:tl2br w:val="nil"/>
              <w:tr2bl w:val="nil"/>
            </w:tcBorders>
            <w:shd w:val="clear" w:color="auto" w:fill="FFFFFF"/>
            <w:vAlign w:val="center"/>
          </w:tcPr>
          <w:p w14:paraId="102D7E9A">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Objectives</w:t>
            </w:r>
          </w:p>
        </w:tc>
        <w:tc>
          <w:tcPr>
            <w:tcW w:w="1455" w:type="dxa"/>
            <w:tcBorders>
              <w:tl2br w:val="nil"/>
              <w:tr2bl w:val="nil"/>
            </w:tcBorders>
            <w:shd w:val="clear" w:color="auto" w:fill="FFFFFF"/>
            <w:vAlign w:val="center"/>
          </w:tcPr>
          <w:p w14:paraId="3C5E9C08">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Methodology</w:t>
            </w:r>
          </w:p>
        </w:tc>
        <w:tc>
          <w:tcPr>
            <w:tcW w:w="1230" w:type="dxa"/>
            <w:tcBorders>
              <w:tl2br w:val="nil"/>
              <w:tr2bl w:val="nil"/>
            </w:tcBorders>
            <w:shd w:val="clear" w:color="auto" w:fill="FFFFFF"/>
            <w:vAlign w:val="center"/>
          </w:tcPr>
          <w:p w14:paraId="1494C0B1">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Results</w:t>
            </w:r>
          </w:p>
        </w:tc>
        <w:tc>
          <w:tcPr>
            <w:tcW w:w="1290" w:type="dxa"/>
            <w:tcBorders>
              <w:tl2br w:val="nil"/>
              <w:tr2bl w:val="nil"/>
            </w:tcBorders>
            <w:shd w:val="clear" w:color="auto" w:fill="FFFFFF"/>
            <w:vAlign w:val="center"/>
          </w:tcPr>
          <w:p w14:paraId="29B0FB5A">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Strengths</w:t>
            </w:r>
          </w:p>
        </w:tc>
        <w:tc>
          <w:tcPr>
            <w:tcW w:w="1410" w:type="dxa"/>
            <w:tcBorders>
              <w:tl2br w:val="nil"/>
              <w:tr2bl w:val="nil"/>
            </w:tcBorders>
            <w:shd w:val="clear" w:color="auto" w:fill="FFFFFF"/>
            <w:vAlign w:val="center"/>
          </w:tcPr>
          <w:p w14:paraId="05A77641">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Weaknesses</w:t>
            </w:r>
          </w:p>
        </w:tc>
        <w:tc>
          <w:tcPr>
            <w:tcW w:w="1325" w:type="dxa"/>
            <w:tcBorders>
              <w:tl2br w:val="nil"/>
              <w:tr2bl w:val="nil"/>
            </w:tcBorders>
            <w:shd w:val="clear" w:color="auto" w:fill="FFFFFF"/>
            <w:vAlign w:val="center"/>
          </w:tcPr>
          <w:p w14:paraId="047044D4">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Identified Gaps</w:t>
            </w:r>
          </w:p>
        </w:tc>
      </w:tr>
      <w:tr w14:paraId="30D3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2DE0F5EA">
            <w:pPr>
              <w:spacing w:line="360" w:lineRule="auto"/>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Nguyen et al. (2020)</w:t>
            </w:r>
          </w:p>
        </w:tc>
        <w:tc>
          <w:tcPr>
            <w:tcW w:w="1166" w:type="dxa"/>
            <w:tcBorders>
              <w:tl2br w:val="nil"/>
              <w:tr2bl w:val="nil"/>
            </w:tcBorders>
            <w:shd w:val="clear" w:color="auto" w:fill="FFFFFF"/>
            <w:vAlign w:val="center"/>
          </w:tcPr>
          <w:p w14:paraId="2A46D346">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To identify key predictors of customer churn in telecoms using machine learning.</w:t>
            </w:r>
          </w:p>
        </w:tc>
        <w:tc>
          <w:tcPr>
            <w:tcW w:w="1455" w:type="dxa"/>
            <w:tcBorders>
              <w:tl2br w:val="nil"/>
              <w:tr2bl w:val="nil"/>
            </w:tcBorders>
            <w:shd w:val="clear" w:color="auto" w:fill="FFFFFF"/>
            <w:vAlign w:val="center"/>
          </w:tcPr>
          <w:p w14:paraId="7A23DFEB">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Random Forest, Logistic Regression, and KNN on telecom data from Vietnam.</w:t>
            </w:r>
          </w:p>
        </w:tc>
        <w:tc>
          <w:tcPr>
            <w:tcW w:w="1230" w:type="dxa"/>
            <w:tcBorders>
              <w:tl2br w:val="nil"/>
              <w:tr2bl w:val="nil"/>
            </w:tcBorders>
            <w:shd w:val="clear" w:color="auto" w:fill="FFFFFF"/>
            <w:vAlign w:val="center"/>
          </w:tcPr>
          <w:p w14:paraId="4D52431D">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Random Forest achieved 80% accuracy, highlighting call duration and data usage as key churn predictors.</w:t>
            </w:r>
          </w:p>
        </w:tc>
        <w:tc>
          <w:tcPr>
            <w:tcW w:w="1290" w:type="dxa"/>
            <w:tcBorders>
              <w:tl2br w:val="nil"/>
              <w:tr2bl w:val="nil"/>
            </w:tcBorders>
            <w:shd w:val="clear" w:color="auto" w:fill="FFFFFF"/>
            <w:vAlign w:val="center"/>
          </w:tcPr>
          <w:p w14:paraId="67E59C67">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Used diverse ML algorithms for comparison and validation.</w:t>
            </w:r>
          </w:p>
        </w:tc>
        <w:tc>
          <w:tcPr>
            <w:tcW w:w="1410" w:type="dxa"/>
            <w:tcBorders>
              <w:tl2br w:val="nil"/>
              <w:tr2bl w:val="nil"/>
            </w:tcBorders>
            <w:shd w:val="clear" w:color="auto" w:fill="FFFFFF"/>
            <w:vAlign w:val="center"/>
          </w:tcPr>
          <w:p w14:paraId="6EAE18B2">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Dataset limited to one telecom operator and specific geographic region.</w:t>
            </w:r>
          </w:p>
        </w:tc>
        <w:tc>
          <w:tcPr>
            <w:tcW w:w="1325" w:type="dxa"/>
            <w:tcBorders>
              <w:tl2br w:val="nil"/>
              <w:tr2bl w:val="nil"/>
            </w:tcBorders>
            <w:shd w:val="clear" w:color="auto" w:fill="FFFFFF"/>
            <w:vAlign w:val="center"/>
          </w:tcPr>
          <w:p w14:paraId="27F6597B">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Lack of analysis on socio-economic factors affecting churn.</w:t>
            </w:r>
          </w:p>
        </w:tc>
      </w:tr>
      <w:tr w14:paraId="3536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3C97A5AB">
            <w:pPr>
              <w:spacing w:line="360" w:lineRule="auto"/>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Abdulkareem et al. (2019)</w:t>
            </w:r>
          </w:p>
        </w:tc>
        <w:tc>
          <w:tcPr>
            <w:tcW w:w="1166" w:type="dxa"/>
            <w:tcBorders>
              <w:tl2br w:val="nil"/>
              <w:tr2bl w:val="nil"/>
            </w:tcBorders>
            <w:shd w:val="clear" w:color="auto" w:fill="FFFFFF"/>
            <w:vAlign w:val="center"/>
          </w:tcPr>
          <w:p w14:paraId="20BB6F02">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To analyze the impact of customer service on churn rates in Nigerian telecom industry.</w:t>
            </w:r>
          </w:p>
        </w:tc>
        <w:tc>
          <w:tcPr>
            <w:tcW w:w="1455" w:type="dxa"/>
            <w:tcBorders>
              <w:tl2br w:val="nil"/>
              <w:tr2bl w:val="nil"/>
            </w:tcBorders>
            <w:shd w:val="clear" w:color="auto" w:fill="FFFFFF"/>
            <w:vAlign w:val="center"/>
          </w:tcPr>
          <w:p w14:paraId="519E6A0E">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Survey-based analysis with 500 respondents from Lagos State.</w:t>
            </w:r>
          </w:p>
        </w:tc>
        <w:tc>
          <w:tcPr>
            <w:tcW w:w="1230" w:type="dxa"/>
            <w:tcBorders>
              <w:tl2br w:val="nil"/>
              <w:tr2bl w:val="nil"/>
            </w:tcBorders>
            <w:shd w:val="clear" w:color="auto" w:fill="FFFFFF"/>
            <w:vAlign w:val="center"/>
          </w:tcPr>
          <w:p w14:paraId="45577C1E">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Poor customer service was found to increase churn probability by 60%.</w:t>
            </w:r>
          </w:p>
        </w:tc>
        <w:tc>
          <w:tcPr>
            <w:tcW w:w="1290" w:type="dxa"/>
            <w:tcBorders>
              <w:tl2br w:val="nil"/>
              <w:tr2bl w:val="nil"/>
            </w:tcBorders>
            <w:shd w:val="clear" w:color="auto" w:fill="FFFFFF"/>
            <w:vAlign w:val="center"/>
          </w:tcPr>
          <w:p w14:paraId="48416D5B">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Real-world insights from customers.</w:t>
            </w:r>
          </w:p>
        </w:tc>
        <w:tc>
          <w:tcPr>
            <w:tcW w:w="1410" w:type="dxa"/>
            <w:tcBorders>
              <w:tl2br w:val="nil"/>
              <w:tr2bl w:val="nil"/>
            </w:tcBorders>
            <w:shd w:val="clear" w:color="auto" w:fill="FFFFFF"/>
            <w:vAlign w:val="center"/>
          </w:tcPr>
          <w:p w14:paraId="110D0976">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Limited sample size and subjective responses prone to bias.</w:t>
            </w:r>
          </w:p>
        </w:tc>
        <w:tc>
          <w:tcPr>
            <w:tcW w:w="1325" w:type="dxa"/>
            <w:tcBorders>
              <w:tl2br w:val="nil"/>
              <w:tr2bl w:val="nil"/>
            </w:tcBorders>
            <w:shd w:val="clear" w:color="auto" w:fill="FFFFFF"/>
            <w:vAlign w:val="center"/>
          </w:tcPr>
          <w:p w14:paraId="3C30BFB2">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No predictive models to validate findings quantitatively.</w:t>
            </w:r>
          </w:p>
        </w:tc>
      </w:tr>
      <w:tr w14:paraId="460E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15A05770">
            <w:pPr>
              <w:spacing w:line="360" w:lineRule="auto"/>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Sharma &amp; Gupta (2018)</w:t>
            </w:r>
          </w:p>
        </w:tc>
        <w:tc>
          <w:tcPr>
            <w:tcW w:w="1166" w:type="dxa"/>
            <w:tcBorders>
              <w:tl2br w:val="nil"/>
              <w:tr2bl w:val="nil"/>
            </w:tcBorders>
            <w:shd w:val="clear" w:color="auto" w:fill="FFFFFF"/>
            <w:vAlign w:val="center"/>
          </w:tcPr>
          <w:p w14:paraId="43471238">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To evaluate how prepaid and postpaid plans influence customer loyalty.</w:t>
            </w:r>
          </w:p>
        </w:tc>
        <w:tc>
          <w:tcPr>
            <w:tcW w:w="1455" w:type="dxa"/>
            <w:tcBorders>
              <w:tl2br w:val="nil"/>
              <w:tr2bl w:val="nil"/>
            </w:tcBorders>
            <w:shd w:val="clear" w:color="auto" w:fill="FFFFFF"/>
            <w:vAlign w:val="center"/>
          </w:tcPr>
          <w:p w14:paraId="1892C078">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Chi-square tests on billing data from 2 telecom providers in India.</w:t>
            </w:r>
          </w:p>
        </w:tc>
        <w:tc>
          <w:tcPr>
            <w:tcW w:w="1230" w:type="dxa"/>
            <w:tcBorders>
              <w:tl2br w:val="nil"/>
              <w:tr2bl w:val="nil"/>
            </w:tcBorders>
            <w:shd w:val="clear" w:color="auto" w:fill="FFFFFF"/>
            <w:vAlign w:val="center"/>
          </w:tcPr>
          <w:p w14:paraId="50EE7211">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Postpaid customers showed 30% higher retention rates than prepaid.</w:t>
            </w:r>
          </w:p>
        </w:tc>
        <w:tc>
          <w:tcPr>
            <w:tcW w:w="1290" w:type="dxa"/>
            <w:tcBorders>
              <w:tl2br w:val="nil"/>
              <w:tr2bl w:val="nil"/>
            </w:tcBorders>
            <w:shd w:val="clear" w:color="auto" w:fill="FFFFFF"/>
            <w:vAlign w:val="center"/>
          </w:tcPr>
          <w:p w14:paraId="669AD209">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Clear segmentation of subscribers by plan type.</w:t>
            </w:r>
          </w:p>
        </w:tc>
        <w:tc>
          <w:tcPr>
            <w:tcW w:w="1410" w:type="dxa"/>
            <w:tcBorders>
              <w:tl2br w:val="nil"/>
              <w:tr2bl w:val="nil"/>
            </w:tcBorders>
            <w:shd w:val="clear" w:color="auto" w:fill="FFFFFF"/>
            <w:vAlign w:val="center"/>
          </w:tcPr>
          <w:p w14:paraId="5C7897A2">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Did not consider demographic or service usage variables.</w:t>
            </w:r>
          </w:p>
        </w:tc>
        <w:tc>
          <w:tcPr>
            <w:tcW w:w="1325" w:type="dxa"/>
            <w:tcBorders>
              <w:tl2br w:val="nil"/>
              <w:tr2bl w:val="nil"/>
            </w:tcBorders>
            <w:shd w:val="clear" w:color="auto" w:fill="FFFFFF"/>
            <w:vAlign w:val="center"/>
          </w:tcPr>
          <w:p w14:paraId="195DFF11">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No machine learning analysis to predict churn.</w:t>
            </w:r>
          </w:p>
        </w:tc>
      </w:tr>
      <w:tr w14:paraId="2A742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43E074ED">
            <w:pPr>
              <w:spacing w:line="360" w:lineRule="auto"/>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Oladipo et al. (2021)</w:t>
            </w:r>
          </w:p>
        </w:tc>
        <w:tc>
          <w:tcPr>
            <w:tcW w:w="1166" w:type="dxa"/>
            <w:tcBorders>
              <w:tl2br w:val="nil"/>
              <w:tr2bl w:val="nil"/>
            </w:tcBorders>
            <w:shd w:val="clear" w:color="auto" w:fill="FFFFFF"/>
            <w:vAlign w:val="center"/>
          </w:tcPr>
          <w:p w14:paraId="14F2872F">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To assess the role of data quality on churn prediction models.</w:t>
            </w:r>
          </w:p>
        </w:tc>
        <w:tc>
          <w:tcPr>
            <w:tcW w:w="1455" w:type="dxa"/>
            <w:tcBorders>
              <w:tl2br w:val="nil"/>
              <w:tr2bl w:val="nil"/>
            </w:tcBorders>
            <w:shd w:val="clear" w:color="auto" w:fill="FFFFFF"/>
            <w:vAlign w:val="center"/>
          </w:tcPr>
          <w:p w14:paraId="3738DCCF">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Data preprocessing techniques and Logistic Regression on Nigerian telecom datasets.</w:t>
            </w:r>
          </w:p>
        </w:tc>
        <w:tc>
          <w:tcPr>
            <w:tcW w:w="1230" w:type="dxa"/>
            <w:tcBorders>
              <w:tl2br w:val="nil"/>
              <w:tr2bl w:val="nil"/>
            </w:tcBorders>
            <w:shd w:val="clear" w:color="auto" w:fill="FFFFFF"/>
            <w:vAlign w:val="center"/>
          </w:tcPr>
          <w:p w14:paraId="1B7BB6A9">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Improved data cleaning enhanced model accuracy from 72% to 78%.</w:t>
            </w:r>
          </w:p>
        </w:tc>
        <w:tc>
          <w:tcPr>
            <w:tcW w:w="1290" w:type="dxa"/>
            <w:tcBorders>
              <w:tl2br w:val="nil"/>
              <w:tr2bl w:val="nil"/>
            </w:tcBorders>
            <w:shd w:val="clear" w:color="auto" w:fill="FFFFFF"/>
            <w:vAlign w:val="center"/>
          </w:tcPr>
          <w:p w14:paraId="741B337A">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Demonstrated importance of data quality for model reliability.</w:t>
            </w:r>
          </w:p>
        </w:tc>
        <w:tc>
          <w:tcPr>
            <w:tcW w:w="1410" w:type="dxa"/>
            <w:tcBorders>
              <w:tl2br w:val="nil"/>
              <w:tr2bl w:val="nil"/>
            </w:tcBorders>
            <w:shd w:val="clear" w:color="auto" w:fill="FFFFFF"/>
            <w:vAlign w:val="center"/>
          </w:tcPr>
          <w:p w14:paraId="5292D777">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Limited focus on feature engineering or other ML techniques.</w:t>
            </w:r>
          </w:p>
        </w:tc>
        <w:tc>
          <w:tcPr>
            <w:tcW w:w="1325" w:type="dxa"/>
            <w:tcBorders>
              <w:tl2br w:val="nil"/>
              <w:tr2bl w:val="nil"/>
            </w:tcBorders>
            <w:shd w:val="clear" w:color="auto" w:fill="FFFFFF"/>
            <w:vAlign w:val="center"/>
          </w:tcPr>
          <w:p w14:paraId="6660CBB7">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No exploration of advanced ML models like Random Forest or Neural Networks.</w:t>
            </w:r>
          </w:p>
        </w:tc>
      </w:tr>
      <w:tr w14:paraId="7685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447D989A">
            <w:pPr>
              <w:spacing w:line="360" w:lineRule="auto"/>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Chen et al. (2020)</w:t>
            </w:r>
          </w:p>
        </w:tc>
        <w:tc>
          <w:tcPr>
            <w:tcW w:w="1166" w:type="dxa"/>
            <w:tcBorders>
              <w:tl2br w:val="nil"/>
              <w:tr2bl w:val="nil"/>
            </w:tcBorders>
            <w:shd w:val="clear" w:color="auto" w:fill="FFFFFF"/>
            <w:vAlign w:val="center"/>
          </w:tcPr>
          <w:p w14:paraId="2154226A">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To improve churn prediction accuracy through ensemble learning.</w:t>
            </w:r>
          </w:p>
        </w:tc>
        <w:tc>
          <w:tcPr>
            <w:tcW w:w="1455" w:type="dxa"/>
            <w:tcBorders>
              <w:tl2br w:val="nil"/>
              <w:tr2bl w:val="nil"/>
            </w:tcBorders>
            <w:shd w:val="clear" w:color="auto" w:fill="FFFFFF"/>
            <w:vAlign w:val="center"/>
          </w:tcPr>
          <w:p w14:paraId="33B90783">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Used Gradient Boosting and AdaBoost on telecom data.</w:t>
            </w:r>
          </w:p>
        </w:tc>
        <w:tc>
          <w:tcPr>
            <w:tcW w:w="1230" w:type="dxa"/>
            <w:tcBorders>
              <w:tl2br w:val="nil"/>
              <w:tr2bl w:val="nil"/>
            </w:tcBorders>
            <w:shd w:val="clear" w:color="auto" w:fill="FFFFFF"/>
            <w:vAlign w:val="center"/>
          </w:tcPr>
          <w:p w14:paraId="5C61FF9C">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Ensemble methods achieved 85% accuracy, outperforming single algorithms.</w:t>
            </w:r>
          </w:p>
        </w:tc>
        <w:tc>
          <w:tcPr>
            <w:tcW w:w="1290" w:type="dxa"/>
            <w:tcBorders>
              <w:tl2br w:val="nil"/>
              <w:tr2bl w:val="nil"/>
            </w:tcBorders>
            <w:shd w:val="clear" w:color="auto" w:fill="FFFFFF"/>
            <w:vAlign w:val="center"/>
          </w:tcPr>
          <w:p w14:paraId="3697E767">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Innovative use of ensemble techniques.</w:t>
            </w:r>
          </w:p>
        </w:tc>
        <w:tc>
          <w:tcPr>
            <w:tcW w:w="1410" w:type="dxa"/>
            <w:tcBorders>
              <w:tl2br w:val="nil"/>
              <w:tr2bl w:val="nil"/>
            </w:tcBorders>
            <w:shd w:val="clear" w:color="auto" w:fill="FFFFFF"/>
            <w:vAlign w:val="center"/>
          </w:tcPr>
          <w:p w14:paraId="7C952B30">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Computational complexity and lack of real-world application testing.</w:t>
            </w:r>
          </w:p>
        </w:tc>
        <w:tc>
          <w:tcPr>
            <w:tcW w:w="1325" w:type="dxa"/>
            <w:tcBorders>
              <w:tl2br w:val="nil"/>
              <w:tr2bl w:val="nil"/>
            </w:tcBorders>
            <w:shd w:val="clear" w:color="auto" w:fill="FFFFFF"/>
            <w:vAlign w:val="center"/>
          </w:tcPr>
          <w:p w14:paraId="01A6C94D">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Did not test model generalizability across different markets.</w:t>
            </w:r>
          </w:p>
        </w:tc>
      </w:tr>
    </w:tbl>
    <w:p w14:paraId="7141C839">
      <w:pPr>
        <w:pStyle w:val="5"/>
        <w:bidi w:val="0"/>
        <w:spacing w:line="360" w:lineRule="auto"/>
        <w:jc w:val="center"/>
        <w:rPr>
          <w:rFonts w:ascii="Times New Roman" w:hAnsi="Times New Roman" w:cs="Times New Roman"/>
          <w:b/>
          <w:bCs/>
          <w:szCs w:val="24"/>
        </w:rPr>
      </w:pPr>
      <w:r>
        <w:rPr>
          <w:rFonts w:hint="default"/>
          <w:lang w:val="en-US"/>
        </w:rPr>
        <w:t xml:space="preserve">Table 2.14 </w:t>
      </w:r>
      <w:r>
        <w:t>Conclusion and Gaps for Current Study</w:t>
      </w:r>
    </w:p>
    <w:p w14:paraId="03AB305E">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Predictive Model Scope:</w:t>
      </w:r>
      <w:r>
        <w:rPr>
          <w:rFonts w:ascii="Times New Roman" w:hAnsi="Times New Roman" w:cs="Times New Roman"/>
          <w:sz w:val="24"/>
          <w:szCs w:val="24"/>
        </w:rPr>
        <w:t xml:space="preserve"> Previous studies either relied on basic machine learning algorithms or lacked comparison across models, leaving room for advanced methods like Random Forest and XGBoost in a Nigerian context.</w:t>
      </w:r>
    </w:p>
    <w:p w14:paraId="596B2ACA">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Data Generalizability:</w:t>
      </w:r>
      <w:r>
        <w:rPr>
          <w:rFonts w:ascii="Times New Roman" w:hAnsi="Times New Roman" w:cs="Times New Roman"/>
          <w:sz w:val="24"/>
          <w:szCs w:val="24"/>
        </w:rPr>
        <w:t xml:space="preserve"> Most studies were limited to single operators or specific regions, reducing the generalizability of results.</w:t>
      </w:r>
    </w:p>
    <w:p w14:paraId="7F555A66">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Influential Factors:</w:t>
      </w:r>
      <w:r>
        <w:rPr>
          <w:rFonts w:ascii="Times New Roman" w:hAnsi="Times New Roman" w:cs="Times New Roman"/>
          <w:sz w:val="24"/>
          <w:szCs w:val="24"/>
        </w:rPr>
        <w:t xml:space="preserve"> Socio-economic and behavioral factors are often underexplored in the Nigerian telecom sector.</w:t>
      </w:r>
    </w:p>
    <w:p w14:paraId="087A0527">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Performance Evaluation Metrics:</w:t>
      </w:r>
      <w:r>
        <w:rPr>
          <w:rFonts w:ascii="Times New Roman" w:hAnsi="Times New Roman" w:cs="Times New Roman"/>
          <w:sz w:val="24"/>
          <w:szCs w:val="24"/>
        </w:rPr>
        <w:t xml:space="preserve"> Few studies comprehensively evaluated models using multiple metrics (accuracy, precision, recall, F1 score, etc.).</w:t>
      </w:r>
    </w:p>
    <w:p w14:paraId="47B8617D">
      <w:pPr>
        <w:spacing w:line="360" w:lineRule="auto"/>
        <w:jc w:val="both"/>
      </w:pPr>
      <w:r>
        <w:rPr>
          <w:rFonts w:ascii="Times New Roman" w:hAnsi="Times New Roman" w:cs="Times New Roman"/>
          <w:sz w:val="24"/>
          <w:szCs w:val="24"/>
        </w:rPr>
        <w:t>These gaps justify the need for this study to employ robust machine learning models, evaluate them comprehensively, and focus on a broader dataset encompassing MTN and Airtel to provide actionable insights for the Nigerian telecom industry.</w:t>
      </w: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2B5F2711"/>
    <w:multiLevelType w:val="multilevel"/>
    <w:tmpl w:val="2B5F271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926B6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BC649E1"/>
    <w:rsid w:val="0DDA4120"/>
    <w:rsid w:val="177D2710"/>
    <w:rsid w:val="18D86A52"/>
    <w:rsid w:val="1FA876BE"/>
    <w:rsid w:val="23957A8C"/>
    <w:rsid w:val="29FD135A"/>
    <w:rsid w:val="2DC91919"/>
    <w:rsid w:val="325674FD"/>
    <w:rsid w:val="339B55AD"/>
    <w:rsid w:val="42264D31"/>
    <w:rsid w:val="46EE000E"/>
    <w:rsid w:val="55357F85"/>
    <w:rsid w:val="590D65AA"/>
    <w:rsid w:val="5C307C10"/>
    <w:rsid w:val="5E873A82"/>
    <w:rsid w:val="68FA2F47"/>
    <w:rsid w:val="693E2E18"/>
    <w:rsid w:val="6E6A23B4"/>
    <w:rsid w:val="74926B65"/>
    <w:rsid w:val="7F794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paragraph" w:styleId="25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7</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2025-08-17T11:56:00Z</dcterms:created>
  <dc:creator>CryptoKingXavier</dc:creator>
  <cp:lastModifiedBy>Caleb Azunobi</cp:lastModifiedBy>
  <dcterms:modified xsi:type="dcterms:W3CDTF">2025-10-05T10:16:07Z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9E280DC22C2B4CD19476F56655B07CCE_11</vt:lpwstr>
  </property>
</Properties>
</file>