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FD71D">
      <w:pPr>
        <w:pStyle w:val="2"/>
        <w:spacing w:line="360" w:lineRule="auto"/>
        <w:rPr>
          <w:rFonts w:cs="Times New Roman"/>
          <w:szCs w:val="24"/>
        </w:rPr>
      </w:pPr>
      <w:bookmarkStart w:id="0" w:name="_Toc183163312"/>
      <w:r>
        <w:rPr>
          <w:rFonts w:cs="Times New Roman"/>
          <w:szCs w:val="24"/>
        </w:rPr>
        <w:t>ABSTRACT</w:t>
      </w:r>
      <w:bookmarkEnd w:id="0"/>
    </w:p>
    <w:p w14:paraId="3CE974D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study examines the key factors influencing customer churn in Nigeria’s telecommunications sector, focusing on MTN and Airtel. Using survey data from 1,383 respondents, the research applied supervised machine learning models—including Decision Tree, Random Forest, Support Vector Machine (SVM), and Extreme Gradient Boosting—to predict churn and identify critical factors affecting customer behavior. Among these models, SVM demonstrated the best performance with an accuracy of 65%, a precision of 43%, recall of 65%, and an F1-score of 52%.  Findings indicate that service quality, network coverage, billing issues, and customer service significantly impact churn. Specifically, 65% of respondents cited poor network coverage, while 54% mentioned billing discrepancies as key reasons for switching providers. Additionally, younger customers (aged 18-30), prepaid subscribers, and those lodging frequent complaints (averagin</w:t>
      </w:r>
      <w:r>
        <w:rPr>
          <w:rFonts w:hint="default" w:ascii="Times New Roman" w:hAnsi="Times New Roman" w:cs="Times New Roman"/>
          <w:sz w:val="24"/>
          <w:szCs w:val="24"/>
          <w:lang w:val="en-US"/>
        </w:rPr>
        <w:t>g</w:t>
      </w:r>
      <w:r>
        <w:rPr>
          <w:rFonts w:ascii="Times New Roman" w:hAnsi="Times New Roman" w:cs="Times New Roman"/>
          <w:sz w:val="24"/>
          <w:szCs w:val="24"/>
        </w:rPr>
        <w:t xml:space="preserve"> three per month) were more likely to leave.  The study highlights the need for telecom</w:t>
      </w:r>
      <w:r>
        <w:rPr>
          <w:rFonts w:hint="default" w:ascii="Times New Roman" w:hAnsi="Times New Roman" w:cs="Times New Roman"/>
          <w:sz w:val="24"/>
          <w:szCs w:val="24"/>
          <w:lang w:val="en-US"/>
        </w:rPr>
        <w:t xml:space="preserve">munication </w:t>
      </w:r>
      <w:r>
        <w:rPr>
          <w:rFonts w:ascii="Times New Roman" w:hAnsi="Times New Roman" w:cs="Times New Roman"/>
          <w:sz w:val="24"/>
          <w:szCs w:val="24"/>
        </w:rPr>
        <w:t>providers to improve service quality, address customer grievances promptly, and implement targeted retention strategies for at-risk customers. These findings underscore the broader relevance of machine learning in predicting customer behavior and shaping strategic business decisions. The research contributes valuable insights into Nigeria’s telecom</w:t>
      </w:r>
      <w:r>
        <w:rPr>
          <w:rFonts w:hint="default" w:ascii="Times New Roman" w:hAnsi="Times New Roman" w:cs="Times New Roman"/>
          <w:sz w:val="24"/>
          <w:szCs w:val="24"/>
          <w:lang w:val="en-US"/>
        </w:rPr>
        <w:t>munication</w:t>
      </w:r>
      <w:r>
        <w:rPr>
          <w:rFonts w:ascii="Times New Roman" w:hAnsi="Times New Roman" w:cs="Times New Roman"/>
          <w:sz w:val="24"/>
          <w:szCs w:val="24"/>
        </w:rPr>
        <w:t xml:space="preserve"> industry, emphasizing the importance of predictive analytics in customer retention. The results serve as a guide for </w:t>
      </w:r>
      <w:r>
        <w:rPr>
          <w:rFonts w:ascii="Times New Roman" w:hAnsi="Times New Roman" w:cs="Times New Roman"/>
          <w:sz w:val="24"/>
          <w:szCs w:val="24"/>
          <w:lang w:val="en-US"/>
        </w:rPr>
        <w:t>telecommunication</w:t>
      </w:r>
      <w:r>
        <w:rPr>
          <w:rFonts w:ascii="Times New Roman" w:hAnsi="Times New Roman" w:cs="Times New Roman"/>
          <w:sz w:val="24"/>
          <w:szCs w:val="24"/>
        </w:rPr>
        <w:t xml:space="preserve"> providers, policymakers, and business strategists to enhance service delivery, mitigate churn, and maintain competitiveness in the market.</w:t>
      </w:r>
    </w:p>
    <w:p w14:paraId="7D946B7E">
      <w:pPr>
        <w:spacing w:after="0" w:line="360" w:lineRule="auto"/>
        <w:jc w:val="both"/>
        <w:rPr>
          <w:rFonts w:ascii="Times New Roman" w:hAnsi="Times New Roman" w:cs="Times New Roman"/>
          <w:sz w:val="24"/>
          <w:szCs w:val="24"/>
        </w:rPr>
      </w:pPr>
    </w:p>
    <w:p w14:paraId="1D3680C5">
      <w:pPr>
        <w:spacing w:after="0" w:line="360" w:lineRule="auto"/>
        <w:jc w:val="both"/>
        <w:rPr>
          <w:rFonts w:ascii="Times New Roman" w:hAnsi="Times New Roman" w:cs="Times New Roman"/>
          <w:sz w:val="24"/>
          <w:szCs w:val="24"/>
        </w:rPr>
      </w:pPr>
    </w:p>
    <w:p w14:paraId="59375044">
      <w:pPr>
        <w:pStyle w:val="2"/>
        <w:spacing w:line="360" w:lineRule="auto"/>
        <w:rPr>
          <w:rFonts w:cs="Times New Roman"/>
          <w:szCs w:val="24"/>
        </w:rPr>
      </w:pPr>
      <w:bookmarkStart w:id="1" w:name="_Toc183163313"/>
      <w:r>
        <w:rPr>
          <w:rFonts w:cs="Times New Roman"/>
          <w:szCs w:val="24"/>
        </w:rPr>
        <w:t>CHAPTER ONE</w:t>
      </w:r>
      <w:bookmarkEnd w:id="1"/>
    </w:p>
    <w:p w14:paraId="3A0F1E4A">
      <w:pPr>
        <w:pStyle w:val="2"/>
        <w:spacing w:line="360" w:lineRule="auto"/>
        <w:rPr>
          <w:rFonts w:cs="Times New Roman"/>
          <w:szCs w:val="24"/>
        </w:rPr>
      </w:pPr>
      <w:bookmarkStart w:id="2" w:name="_Toc183163314"/>
      <w:r>
        <w:rPr>
          <w:rFonts w:cs="Times New Roman"/>
          <w:szCs w:val="24"/>
        </w:rPr>
        <w:t>INTRODUCTION</w:t>
      </w:r>
      <w:bookmarkEnd w:id="2"/>
    </w:p>
    <w:p w14:paraId="7109D1B3">
      <w:pPr>
        <w:pStyle w:val="3"/>
        <w:bidi w:val="0"/>
        <w:spacing w:line="360" w:lineRule="auto"/>
      </w:pPr>
      <w:bookmarkStart w:id="3" w:name="_Toc183163315"/>
      <w:r>
        <w:t>1.1</w:t>
      </w:r>
      <w:r>
        <w:rPr>
          <w:rFonts w:hint="default"/>
          <w:lang w:val="en-US"/>
        </w:rPr>
        <w:tab/>
      </w:r>
      <w:r>
        <w:t>Background of</w:t>
      </w:r>
      <w:r>
        <w:rPr>
          <w:rFonts w:hint="default"/>
          <w:lang w:val="en-US"/>
        </w:rPr>
        <w:t xml:space="preserve"> </w:t>
      </w:r>
      <w:r>
        <w:t>Study</w:t>
      </w:r>
      <w:bookmarkEnd w:id="3"/>
    </w:p>
    <w:p w14:paraId="20BEB1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today’s era where connectivity is one of the basic human necessities, and telecommunications industry plays an important role in the development of societies’ digital base. These include the busy cities with vibrant economic activities and the rural areas that want to be connected, by providing communication and transaction services as well as information. While the industry advances, the problem of customer loyalty in the context of rising competition becomes even more significant. This paper aims at exploring the best approach to predict customer churn using complex machine learning models, which is a crucial task to ensure growth and profitability of the telecommunication industry.</w:t>
      </w:r>
    </w:p>
    <w:p w14:paraId="4EAE028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Telecommunication remains one of the major industries that shape growth and development within the global economy. The telecommunications industry in America has well-developed facilities, high technologies, and high competition among the leading companies such as AT&amp;T, Verizon, and T-Mobile. These companies are always working hard to deliver fast internet, integrated mobility, and other advanced solutions such as 5G to keep the United States on the map of telecommunications progress (Gartner, 2021). For instance, AT&amp;T negotiation in fiber optics and the edges technology has been pivotal in increasing the network speed and availability which in one way is resultant for customer retention.</w:t>
      </w:r>
    </w:p>
    <w:p w14:paraId="04A3D78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Nigeria telecommunication sector is one of the largest and fastest growing in Africa that has recorded phenomenal growth over the last two decades. Measures that liberalized the sector prior to the year 2000s paved way for private participation and resulted in the scale mobile subscription and usage of the internet. The industry is made up of players including MTN Nigeria, Airtel Nigeria, Globacom, 9mobile through which consumers can access voice and Short Message Service (SMS) and data as well as mobile money Newman et al. 2015).</w:t>
      </w:r>
    </w:p>
    <w:p w14:paraId="1C8F16E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generation and use of mobile technology has moved with a fast pace in Nigeria, where mobile subscriptions passed 200 million in the year 2023 (Nigerian Communications Commission, 2023). This growth has been as a result of affordability of smartphones, cut-throat prices and fancy service delivery, and this makes telecommunication an essential part of improvement of </w:t>
      </w:r>
      <w:r>
        <w:rPr>
          <w:rFonts w:ascii="Times New Roman" w:hAnsi="Times New Roman" w:cs="Times New Roman"/>
          <w:sz w:val="24"/>
          <w:szCs w:val="24"/>
          <w:lang w:val="en-US"/>
        </w:rPr>
        <w:t>socioeconomic</w:t>
      </w:r>
      <w:r>
        <w:rPr>
          <w:rFonts w:ascii="Times New Roman" w:hAnsi="Times New Roman" w:cs="Times New Roman"/>
          <w:sz w:val="24"/>
          <w:szCs w:val="24"/>
        </w:rPr>
        <w:t xml:space="preserve"> life of Nigeria. MoMo by MTN Nigeria has immensely enhanced financial mobilization and has been offering banking solutions to many unserved Nigerians.</w:t>
      </w:r>
    </w:p>
    <w:p w14:paraId="386E67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However, the industry suffers a number of threats such as inadequate infrastructural development, restrictive policies as well as high rivalry. However, the Nigerian telecommunications has continued to be a competitive and key sub-sector of the economy in terms of enrolment to GDP and employment. Some of these challenges are being addressed through development of the National Broadband Plan in Nigeria in order to increase accessibility of broadband while enhancing the quality of infrastructure.</w:t>
      </w:r>
    </w:p>
    <w:p w14:paraId="7E8EDD5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telecommunications sector in Nigeria, one of the most developed segments of the African telecommunication market, has been developing rapidly during the last two decades. In the early 2000 the sector has been liberalized to allow private investment hence mobile subscriptions and internet growth. The market is fairly well controlled by prominent players like: MTN Nigeria Communications Limited (MTN Nigeria), Airtel Nigeria Limited, Glo Mobile, and 9Mobile Limited as they provide the mobile subscription services for voice, Short Message Service (SMS), mobile data and mobile money services (Newman et al.,2015).</w:t>
      </w:r>
    </w:p>
    <w:p w14:paraId="49CDE2A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Mobile technology is therefore rapidly growing since Nigeria is among the first-tier telecommunications markets worldwide, with the active subscription of mobile telecommunications standing at over 200 million in 2023. This growth has therefore been facilitated by the availability of cheap smartphones, competent and attractive prices for telecommunications services, as well as several other attractive and unique services, making telecommunications an essential of the Nigeria’s economic evolution. Through MoMo, which is MTN Nigeria’s mobile money service offering banking services to millions of Nigeria’s unbanked people, has gone up tremendously for financial inclusion.</w:t>
      </w:r>
    </w:p>
    <w:p w14:paraId="7A7C829E">
      <w:pPr>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Nonetheless, challenges persist such as infrastructure development challenges, regulations and competitors’ pressures. However, the sector has faced these challenges, the sector is still growing in Nigeria and provides a significantly large boost to the nation’s Gross Domestic Product (GDP) and employment. Some of these challenges are sought to be solved through development of new infrastructure like the Nigerian National Broadband Plan seeking to increase the broadband penetration and enhance the quality of networks.</w:t>
      </w:r>
      <w:r>
        <w:rPr>
          <w:rFonts w:hint="default" w:ascii="Times New Roman" w:hAnsi="Times New Roman" w:cs="Times New Roman"/>
          <w:sz w:val="24"/>
          <w:szCs w:val="24"/>
          <w:lang w:val="en-US"/>
        </w:rPr>
        <w:t xml:space="preserve"> Similarly, various methods employed include:</w:t>
      </w:r>
    </w:p>
    <w:p w14:paraId="15ABEDD3">
      <w:pPr>
        <w:pStyle w:val="37"/>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Personalized Services: Telecommunications providers such as Verizon and China Mobile leverage data analytics and machine learning to offer personalized services and recommendations based on customer preferences and behavior. Verizon's use of predictive analytics to identify at-risk customers and offer targeted retention campaigns has significantly reduced churn rates.</w:t>
      </w:r>
    </w:p>
    <w:p w14:paraId="7FCF6608">
      <w:pPr>
        <w:pStyle w:val="37"/>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Loyalty Programs: Companies like Airtel India and MTN Nigeria implement loyalty programs that reward customers for their continued patronage, encouraging long-term engagement and reducing churn. MTN's "Y'ello Rewards" program offers discounts, free data, and exclusive offers to loyal customers, enhancing customer retention.</w:t>
      </w:r>
    </w:p>
    <w:p w14:paraId="528A2B74">
      <w:pPr>
        <w:pStyle w:val="37"/>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Competitive Pricing and Bundling: Offering competitive pricing and bundling services, such as combining mobile, internet, and TV services, helps companies like Reliance Jio and Vodafone Idea attract and retain customers. Reliance Jio's bundling of digital services, including JioTV and JioCinema, with its mobile plans has increased customer stickiness.</w:t>
      </w:r>
    </w:p>
    <w:p w14:paraId="19B1E65F">
      <w:pPr>
        <w:pStyle w:val="37"/>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Proactive Customer Support: Proactive customer support, including regular check-ins and prompt resolution of issues, is a key strategy employed by companies like T-Mobile and China Telecom to maintain customer satisfaction and loyalty. T-Mobile's implementation of a customer feedback loop to continuously improve service quality has been effective in retaining customers.</w:t>
      </w:r>
    </w:p>
    <w:p w14:paraId="58DF8D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churn, the phenomenon where customers discontinue their services with a company, poses a significant challenge for telecommunications companies. High churn rates can lead to substantial revenue losses, increased marketing and acquisition costs, and a negative impact on brand reputation.</w:t>
      </w:r>
    </w:p>
    <w:p w14:paraId="1338AA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impact of customer churn is multifaceted and can be described as follows:</w:t>
      </w:r>
    </w:p>
    <w:p w14:paraId="7FEB3952">
      <w:pPr>
        <w:pStyle w:val="37"/>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Revenue Loss: When customers leave, companies lose not only the immediate revenue from their services but also potential future earnings from </w:t>
      </w:r>
      <w:r>
        <w:rPr>
          <w:rFonts w:ascii="Times New Roman" w:hAnsi="Times New Roman" w:cs="Times New Roman"/>
          <w:sz w:val="24"/>
          <w:szCs w:val="24"/>
          <w:lang w:val="en-US"/>
        </w:rPr>
        <w:t>up-selling</w:t>
      </w:r>
      <w:r>
        <w:rPr>
          <w:rFonts w:ascii="Times New Roman" w:hAnsi="Times New Roman" w:cs="Times New Roman"/>
          <w:sz w:val="24"/>
          <w:szCs w:val="24"/>
        </w:rPr>
        <w:t xml:space="preserve"> and cross-selling opportunities. For example, losing a high-value customer who subscribes to premium services can significantly impact the company's revenue.</w:t>
      </w:r>
    </w:p>
    <w:p w14:paraId="7E02F2B3">
      <w:pPr>
        <w:pStyle w:val="37"/>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Increased Costs: Acquiring new customers is often more expensive than retaining existing ones. High churn rates necessitate increased spending on marketing and promotional activities to attract new customers. The cost of acquiring a new customer can be five to ten times higher than retaining an existing one (Huang and Wang, 2018).</w:t>
      </w:r>
    </w:p>
    <w:p w14:paraId="5225BD3B">
      <w:pPr>
        <w:pStyle w:val="37"/>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Brand Image: Frequent customer churn can damage a company's brand image and reputation. Customers who leave due to dissatisfaction may share their negative experiences, influencing potential customers' perceptions. Negative reviews on social media and review sites can amplify the impact, deterring prospective customers.</w:t>
      </w:r>
    </w:p>
    <w:p w14:paraId="0CD9522F">
      <w:pPr>
        <w:pStyle w:val="37"/>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Operational Efficiency: High churn rates can disrupt operational efficiency, as companies must continuously adapt their strategies and processes to address the reasons behind churn. This constant need for adaptation can strain resources and divert attention from other strategic initiatives.</w:t>
      </w:r>
    </w:p>
    <w:p w14:paraId="08328F1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Core problems of many telecommunications companies include unhappy customers whose contracts have been terminated. For example, in Nigeria 9mobile has seen customers defecting in several ways triggered by issues such as poor network quality, customer care concerns and competition forces that come with serious players like MTN Nigeria and Airtel Nigeria. The need to reduce expenditure has also led the company to hive off</w:t>
      </w:r>
      <w:r>
        <w:rPr>
          <w:rFonts w:hint="default" w:ascii="Times New Roman" w:hAnsi="Times New Roman" w:cs="Times New Roman"/>
          <w:sz w:val="24"/>
          <w:szCs w:val="24"/>
          <w:lang w:val="en-US"/>
        </w:rPr>
        <w:t xml:space="preserve"> </w:t>
      </w:r>
      <w:r>
        <w:rPr>
          <w:rFonts w:ascii="Times New Roman" w:hAnsi="Times New Roman" w:cs="Times New Roman"/>
          <w:sz w:val="24"/>
          <w:szCs w:val="24"/>
        </w:rPr>
        <w:t>most of its capital expenses, thereby denying it funds for network enhancement, which has worsened the churn issue.</w:t>
      </w:r>
    </w:p>
    <w:p w14:paraId="16A76F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churn in the telecommunications industry can be attributed to several factors:</w:t>
      </w:r>
    </w:p>
    <w:p w14:paraId="3072D912">
      <w:pPr>
        <w:pStyle w:val="37"/>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Network Quality: User Experience- one of the major factors for churn is the erratic nature of call and data connections, drop calls, slow internet speed and areas of restricted network coverage. This distortion gives customers expectation of reliable and high quality network service; any failure in meeting this expectation will lead to dissatisfaction and churn.</w:t>
      </w:r>
    </w:p>
    <w:p w14:paraId="40FE4FFF">
      <w:pPr>
        <w:pStyle w:val="37"/>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Service: Lack of or poor response to customer service causes customer irritation hence they shift to other companies. Complaint and dissatisfaction such as long hours waiting, unsolved problems and no attendant care are some of the reasons that lead to churn.</w:t>
      </w:r>
    </w:p>
    <w:p w14:paraId="774FB5E9">
      <w:pPr>
        <w:pStyle w:val="37"/>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Pricing: High tariffs and hidden charges act as a put off due to the fact that customers have the option of moving to the next available cheaper deal. Common understanding is that customer should never be overcharged and where possible their ought to be added value services offered at a cheap price.</w:t>
      </w:r>
    </w:p>
    <w:p w14:paraId="4802A866">
      <w:pPr>
        <w:pStyle w:val="37"/>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Competition: Sometimes the competition is high and the offers from other service providers look even more attractive, customers tend to change providers. The competitors have also been known to start marketing and promotional campaigns that could easily sway the customer if the current service provider is not prepared to match the price and value for money offered, as well.</w:t>
      </w:r>
    </w:p>
    <w:p w14:paraId="29033B88">
      <w:pPr>
        <w:pStyle w:val="37"/>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Lack of Personalization: It is known that customers expect that certain individual services are provided for being tailored for their needs. Similar to the case of churn, marketers often relate it to failure to provide or to meet user expectations. Customers want to receive information that concerns them specifically; they want to receive offers and content that relates to what they are interested in.</w:t>
      </w:r>
    </w:p>
    <w:p w14:paraId="7C0F882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telecommunications industry, a vital sector in the global economy, faces the dual challenges of fierce competition and customer churn. While the industry's growth and technological advancements have transformed communication and connectivity, retaining customers remains a critical concern. Understanding the factors influencing customer churn and employing effective retention strategies are essential for telecommunications companies to sustain their growth and profitability.</w:t>
      </w:r>
    </w:p>
    <w:p w14:paraId="7AE71F66">
      <w:pPr>
        <w:pStyle w:val="3"/>
        <w:spacing w:line="360" w:lineRule="auto"/>
        <w:rPr>
          <w:rFonts w:hint="default"/>
          <w:lang w:val="en-US"/>
        </w:rPr>
      </w:pPr>
      <w:bookmarkStart w:id="4" w:name="_Toc183163316"/>
      <w:r>
        <w:t>1.2</w:t>
      </w:r>
      <w:r>
        <w:rPr>
          <w:rFonts w:hint="default"/>
          <w:lang w:val="en-US"/>
        </w:rPr>
        <w:tab/>
      </w:r>
      <w:r>
        <w:t xml:space="preserve">Problem </w:t>
      </w:r>
      <w:bookmarkEnd w:id="4"/>
      <w:r>
        <w:rPr>
          <w:rFonts w:hint="default"/>
          <w:lang w:val="en-US"/>
        </w:rPr>
        <w:t>Definition</w:t>
      </w:r>
    </w:p>
    <w:p w14:paraId="0FAC872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Predicting customer churn is a complex task due to several factors. Firstly, telecommunications companies handle vast amounts of data, including call detail records, usage patterns, and customer demographics, which need to be effectively analyzed to identify churn predictors. Secondly, customer behavior is influenced by numerous variables, such as service quality, pricing, customer service experiences, and competitor actions, making it challenging to pinpoint the exact reasons for churn. Moreover, the dynamic nature of the market, with frequent changes in technology and service offerings, adds to the difficulty of developing robust predictive models.</w:t>
      </w:r>
    </w:p>
    <w:p w14:paraId="68CA1A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Addressing customer churn is critical for telecommunications companies to maintain revenue, reduce acquisition costs, and sustain competitive advantage. High churn rates can lead to significant financial losses and undermine customer loyalty. Therefore, implementing effective churn prediction and retention strategies is essential for long-term success.</w:t>
      </w:r>
    </w:p>
    <w:p w14:paraId="2C6826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study aims to solve these challenges by employing advanced machine learning models to predict customer churn in the telecommunications sector. By leveraging large datasets and sophisticated algorithms, the study will identify key churn indicators and develop predictive models that can accurately forecast churn events. These insights will enable telecommunications companies to implement targeted retention strategies, such as personalized offers and proactive customer support, to mitigate churn and enhance customer loyalty.</w:t>
      </w:r>
    </w:p>
    <w:p w14:paraId="3286A4FE">
      <w:pPr>
        <w:pStyle w:val="3"/>
        <w:spacing w:line="360" w:lineRule="auto"/>
      </w:pPr>
      <w:bookmarkStart w:id="5" w:name="_Toc183163317"/>
      <w:r>
        <w:t>1.3</w:t>
      </w:r>
      <w:r>
        <w:rPr>
          <w:rFonts w:hint="default"/>
          <w:lang w:val="en-US"/>
        </w:rPr>
        <w:tab/>
      </w:r>
      <w:r>
        <w:t>Aim and Objectives of Study</w:t>
      </w:r>
      <w:bookmarkEnd w:id="5"/>
    </w:p>
    <w:p w14:paraId="727479B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this study is to predict customer churn using machine learning models. The </w:t>
      </w:r>
      <w:r>
        <w:rPr>
          <w:rFonts w:hint="default" w:ascii="Times New Roman" w:hAnsi="Times New Roman" w:cs="Times New Roman"/>
          <w:sz w:val="24"/>
          <w:szCs w:val="24"/>
          <w:lang w:val="en-US"/>
        </w:rPr>
        <w:t>s</w:t>
      </w:r>
      <w:r>
        <w:rPr>
          <w:rFonts w:ascii="Times New Roman" w:hAnsi="Times New Roman" w:cs="Times New Roman"/>
          <w:sz w:val="24"/>
          <w:szCs w:val="24"/>
        </w:rPr>
        <w:t>pecific objectives are:</w:t>
      </w:r>
    </w:p>
    <w:p w14:paraId="796D57D6">
      <w:pPr>
        <w:pStyle w:val="37"/>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To obtain data in order identify key factors influencing customer churn in Nigerian telecommunications industry</w:t>
      </w:r>
    </w:p>
    <w:p w14:paraId="72CF932B">
      <w:pPr>
        <w:pStyle w:val="37"/>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To design a database to store relevant customer and telecom data for preprocessing, feature engineering and exploratory analysis</w:t>
      </w:r>
    </w:p>
    <w:p w14:paraId="204DBE27">
      <w:pPr>
        <w:pStyle w:val="37"/>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To develop a machine-based framework for churn prediction in Nigerian telecommunications industry</w:t>
      </w:r>
    </w:p>
    <w:p w14:paraId="61849670">
      <w:pPr>
        <w:pStyle w:val="37"/>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To evaluate and compare the performance of the models using appropriate metrics</w:t>
      </w:r>
    </w:p>
    <w:p w14:paraId="368C3056">
      <w:pPr>
        <w:pStyle w:val="3"/>
        <w:spacing w:line="360" w:lineRule="auto"/>
      </w:pPr>
      <w:bookmarkStart w:id="6" w:name="_Toc183163318"/>
      <w:r>
        <w:t>1.4</w:t>
      </w:r>
      <w:r>
        <w:rPr>
          <w:rFonts w:hint="default"/>
          <w:lang w:val="en-US"/>
        </w:rPr>
        <w:tab/>
      </w:r>
      <w:r>
        <w:t>Research Questions</w:t>
      </w:r>
      <w:bookmarkEnd w:id="6"/>
    </w:p>
    <w:p w14:paraId="3B27316D">
      <w:pPr>
        <w:pStyle w:val="37"/>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What are the key factors that influence customer churn in telecommunications?</w:t>
      </w:r>
    </w:p>
    <w:p w14:paraId="69A008CC">
      <w:pPr>
        <w:pStyle w:val="37"/>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Which machine learning models are most effective in predicting customer churn?</w:t>
      </w:r>
    </w:p>
    <w:p w14:paraId="3B7E7105">
      <w:pPr>
        <w:pStyle w:val="37"/>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How do different machine learning models compare in terms of accuracy and performance?</w:t>
      </w:r>
    </w:p>
    <w:p w14:paraId="7CC2B0C4">
      <w:pPr>
        <w:pStyle w:val="3"/>
        <w:spacing w:line="360" w:lineRule="auto"/>
        <w:rPr>
          <w:rFonts w:hint="default"/>
          <w:lang w:val="en-US"/>
        </w:rPr>
      </w:pPr>
      <w:bookmarkStart w:id="7" w:name="_Toc183163319"/>
      <w:r>
        <w:t>1.5</w:t>
      </w:r>
      <w:r>
        <w:rPr>
          <w:rFonts w:hint="default"/>
          <w:lang w:val="en-US"/>
        </w:rPr>
        <w:tab/>
      </w:r>
      <w:r>
        <w:t xml:space="preserve">Research </w:t>
      </w:r>
      <w:bookmarkEnd w:id="7"/>
      <w:r>
        <w:rPr>
          <w:rFonts w:hint="default"/>
          <w:lang w:val="en-US"/>
        </w:rPr>
        <w:t>Justification</w:t>
      </w:r>
    </w:p>
    <w:p w14:paraId="54045B3E">
      <w:pPr>
        <w:spacing w:line="360" w:lineRule="auto"/>
        <w:jc w:val="both"/>
        <w:rPr>
          <w:rFonts w:ascii="Times New Roman" w:hAnsi="Times New Roman" w:cs="Times New Roman"/>
          <w:sz w:val="24"/>
          <w:szCs w:val="24"/>
        </w:rPr>
      </w:pPr>
      <w:r>
        <w:rPr>
          <w:rFonts w:ascii="Times New Roman" w:hAnsi="Times New Roman" w:cs="Times New Roman"/>
          <w:sz w:val="24"/>
          <w:szCs w:val="24"/>
        </w:rPr>
        <w:t>To achieve the research objectives, this study will utilize secondary data obtained from MTN and Airtel subscriber databases. The dataset will include customer demographics, service usage patterns, billing information, complaint records, and churn status. Key software tools such as Python and its libraries (Pandas, NumPy, Scikit-learn, and Matplotlib) will be employed for data cleaning, analysis, and visualization.</w:t>
      </w:r>
    </w:p>
    <w:p w14:paraId="462D4618">
      <w:pPr>
        <w:spacing w:line="360" w:lineRule="auto"/>
        <w:jc w:val="both"/>
        <w:rPr>
          <w:rFonts w:ascii="Times New Roman" w:hAnsi="Times New Roman" w:cs="Times New Roman"/>
          <w:sz w:val="24"/>
          <w:szCs w:val="24"/>
        </w:rPr>
      </w:pPr>
      <w:r>
        <w:rPr>
          <w:rFonts w:ascii="Times New Roman" w:hAnsi="Times New Roman" w:cs="Times New Roman"/>
          <w:sz w:val="24"/>
          <w:szCs w:val="24"/>
        </w:rPr>
        <w:t>The methods involve descriptive and predictive analytics. Descriptive analysis will identify trends and patterns, while machine learning models—Decision Tree, Random Forest, Support Vector Machine and XGBoost—will be developed to predict churn. These models will be evaluated based on accuracy, precision, recall, and F1-score to determine their effectiveness in identifying factors influencing churn.</w:t>
      </w:r>
    </w:p>
    <w:p w14:paraId="51E6E820">
      <w:pPr>
        <w:pStyle w:val="3"/>
        <w:spacing w:line="360" w:lineRule="auto"/>
      </w:pPr>
      <w:bookmarkStart w:id="8" w:name="_Toc183163320"/>
      <w:r>
        <w:t>1.6</w:t>
      </w:r>
      <w:r>
        <w:rPr>
          <w:rFonts w:hint="default"/>
          <w:lang w:val="en-US"/>
        </w:rPr>
        <w:tab/>
      </w:r>
      <w:r>
        <w:t>Significance of Study</w:t>
      </w:r>
      <w:bookmarkEnd w:id="8"/>
    </w:p>
    <w:p w14:paraId="2263F290">
      <w:pPr>
        <w:spacing w:line="360" w:lineRule="auto"/>
        <w:jc w:val="both"/>
        <w:rPr>
          <w:rFonts w:ascii="Times New Roman" w:hAnsi="Times New Roman" w:cs="Times New Roman"/>
          <w:sz w:val="24"/>
          <w:szCs w:val="24"/>
        </w:rPr>
      </w:pPr>
      <w:r>
        <w:rPr>
          <w:rFonts w:ascii="Times New Roman" w:hAnsi="Times New Roman" w:cs="Times New Roman"/>
          <w:sz w:val="24"/>
          <w:szCs w:val="24"/>
        </w:rPr>
        <w:t>The results of this study constitute a number of valuable implications for telecommunications practical application, representing the following benefits. It allows telecommunications firms to identify which customers are likely to churn so they can undertake special retention efforts such as customer offers or incentives and better customer service interventions. It is these measures that can slash churn rates to the ground, thus providing the company with stability of customer flow and, consequently, of revenues. Theoretical models derived from this research will help to forecast customers that are likely to present a risk, and thus facilitate rational resource deployment. Targeting and applying retention strategies to high churning customers save the firm a lot of money used in the extensive marketing and customer acquisition. Furthermore, since the factors underlying customer churn rate are ascertained some of the most frequent complaints and issues can be resolved to improve the general quality of offered services. Changes in network reliability and cost-effectiveness, availability and clarity of tariffs, and customer care services will result to increased customer satisfaction and the sizes of the loyal customers base. Using high level of machine learning in churn prediction can be a good selling point, so firms can easily adjust to the market changes and consumer demands hence drawing more customers thus expanding the market share. Last but not the least, the findings of the churn prediction models will be useful in making optimal decisions from the strategic management perspectives at multiple organizational tiers to fight churn and manage customer value properly.</w:t>
      </w:r>
    </w:p>
    <w:p w14:paraId="6F5D371B">
      <w:pPr>
        <w:spacing w:line="360" w:lineRule="auto"/>
        <w:jc w:val="both"/>
        <w:rPr>
          <w:rFonts w:ascii="Times New Roman" w:hAnsi="Times New Roman" w:cs="Times New Roman"/>
          <w:sz w:val="24"/>
          <w:szCs w:val="24"/>
        </w:rPr>
      </w:pPr>
      <w:r>
        <w:rPr>
          <w:rFonts w:ascii="Times New Roman" w:hAnsi="Times New Roman" w:cs="Times New Roman"/>
          <w:sz w:val="24"/>
          <w:szCs w:val="24"/>
        </w:rPr>
        <w:t>From an academic perspective, this research adds onto existing literature and knowledge to the field of customer churn prediction focused on the application of machine learning algorithms. This enhances the understanding of very large telecommunications data, especially the relative performance of different predictive models. Thus, this research effort provides a practical emphasis on the application of advanced algorithms while filling the gap between theoretical and applied investigation. Further, the findings give insights to the many factors affecting customer churn, diversifying the available customer behavior and Customer retention literature.</w:t>
      </w:r>
    </w:p>
    <w:p w14:paraId="6617FADF">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study's methodology and findings can serve as a reference for future research, encouraging further exploration and innovation in the field of data-driven customer relationship management. Ultimately, this research advances the understanding of how machine learning can be leveraged to address critical business challenges, fostering a deeper integration of technology and business strategy in academia.</w:t>
      </w:r>
    </w:p>
    <w:p w14:paraId="410024CA">
      <w:pPr>
        <w:pStyle w:val="3"/>
        <w:spacing w:line="360" w:lineRule="auto"/>
      </w:pPr>
      <w:bookmarkStart w:id="9" w:name="_Toc183163321"/>
      <w:r>
        <w:t>1.7</w:t>
      </w:r>
      <w:r>
        <w:rPr>
          <w:rFonts w:hint="default"/>
          <w:lang w:val="en-US"/>
        </w:rPr>
        <w:tab/>
      </w:r>
      <w:r>
        <w:t>Scope of Study</w:t>
      </w:r>
      <w:bookmarkEnd w:id="9"/>
    </w:p>
    <w:p w14:paraId="3D9022D0">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aims to predict customer churn in Nigeria's telecommunications sector using machine learning models such as Support Vector Machine, Decision Trees, Random Forest, and Extreme Gradient Boosting (XGBoost). These models are evaluated using metrics including accuracy, precision, recall, and F1-score to ensure reliable predictions. The analysis focuses on data from MTN Nigeria and Airtel Nigeria, collected over three years to capture customer behavior and market trends. The geographical scope encompasses both urban and rural areas nationwide.</w:t>
      </w:r>
    </w:p>
    <w:p w14:paraId="749991BD">
      <w:pPr>
        <w:pStyle w:val="3"/>
        <w:bidi w:val="0"/>
      </w:pPr>
      <w:r>
        <w:t>1.</w:t>
      </w:r>
      <w:r>
        <w:rPr>
          <w:rFonts w:hint="default"/>
          <w:lang w:val="en-US"/>
        </w:rPr>
        <w:t>8</w:t>
      </w:r>
      <w:r>
        <w:rPr>
          <w:rFonts w:hint="default"/>
          <w:lang w:val="en-US"/>
        </w:rPr>
        <w:tab/>
      </w:r>
      <w:r>
        <w:t>Limitations of Study</w:t>
      </w:r>
    </w:p>
    <w:p w14:paraId="5D945F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However, the study has limitations. It relies on secondary data from telecom operators, which may be subject to accuracy and completeness issues. External factors such as inflation or competitor strategies are not considered, potentially influencing churn. Additionally, findings are specific to MTN and Airtel, limiting </w:t>
      </w:r>
      <w:r>
        <w:rPr>
          <w:rFonts w:ascii="Times New Roman" w:hAnsi="Times New Roman" w:cs="Times New Roman"/>
          <w:sz w:val="24"/>
          <w:szCs w:val="24"/>
          <w:lang w:val="en-US"/>
        </w:rPr>
        <w:t>generalization</w:t>
      </w:r>
      <w:r>
        <w:rPr>
          <w:rFonts w:ascii="Times New Roman" w:hAnsi="Times New Roman" w:cs="Times New Roman"/>
          <w:sz w:val="24"/>
          <w:szCs w:val="24"/>
        </w:rPr>
        <w:t xml:space="preserve"> to other operators. These constraints highlight the need for future research incorporating broader datasets and additional </w:t>
      </w:r>
      <w:r>
        <w:rPr>
          <w:rFonts w:ascii="Times New Roman" w:hAnsi="Times New Roman" w:cs="Times New Roman"/>
          <w:sz w:val="24"/>
          <w:szCs w:val="24"/>
          <w:lang w:val="en-US"/>
        </w:rPr>
        <w:t>socioeconomic</w:t>
      </w:r>
      <w:r>
        <w:rPr>
          <w:rFonts w:ascii="Times New Roman" w:hAnsi="Times New Roman" w:cs="Times New Roman"/>
          <w:sz w:val="24"/>
          <w:szCs w:val="24"/>
        </w:rPr>
        <w:t xml:space="preserve"> variables to enhance predictive accuracy and scope.</w:t>
      </w:r>
    </w:p>
    <w:p w14:paraId="20284393">
      <w:pPr>
        <w:pStyle w:val="3"/>
        <w:spacing w:line="360" w:lineRule="auto"/>
      </w:pPr>
      <w:bookmarkStart w:id="10" w:name="_Toc183163322"/>
      <w:r>
        <w:t>1.</w:t>
      </w:r>
      <w:r>
        <w:rPr>
          <w:rFonts w:hint="default"/>
          <w:lang w:val="en-US"/>
        </w:rPr>
        <w:t>9</w:t>
      </w:r>
      <w:r>
        <w:rPr>
          <w:rFonts w:hint="default"/>
          <w:lang w:val="en-US"/>
        </w:rPr>
        <w:tab/>
      </w:r>
      <w:r>
        <w:t>Operational Definition of Terms</w:t>
      </w:r>
      <w:bookmarkEnd w:id="10"/>
    </w:p>
    <w:p w14:paraId="43B5274F">
      <w:pPr>
        <w:numPr>
          <w:ilvl w:val="0"/>
          <w:numId w:val="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 xml:space="preserve">Customer Churn: In the framework of this research, Customer churn means that the customers who subscribed to the telecom services end their relationship with the provider forever, either by </w:t>
      </w:r>
      <w:r>
        <w:rPr>
          <w:rFonts w:ascii="Times New Roman" w:hAnsi="Times New Roman" w:cs="Times New Roman"/>
          <w:sz w:val="24"/>
          <w:szCs w:val="24"/>
          <w:lang w:val="en-US"/>
        </w:rPr>
        <w:t>canceling</w:t>
      </w:r>
      <w:r>
        <w:rPr>
          <w:rFonts w:ascii="Times New Roman" w:hAnsi="Times New Roman" w:cs="Times New Roman"/>
          <w:sz w:val="24"/>
          <w:szCs w:val="24"/>
        </w:rPr>
        <w:t xml:space="preserve"> their contracts or not renewing their prepaid plans.</w:t>
      </w:r>
    </w:p>
    <w:p w14:paraId="17B1D16D">
      <w:pPr>
        <w:numPr>
          <w:ilvl w:val="0"/>
          <w:numId w:val="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Machine Learning Models: Artificial intelligence is a method of data analysis which allows a computing system to automatically learn the pattern in the given data and then use the data to make a decision. In this research, data mining tools such as machine learning models are used to analyze customer data to develop a churn prediction model by analyzing historical Telecom data.</w:t>
      </w:r>
    </w:p>
    <w:p w14:paraId="1BBC0044">
      <w:pPr>
        <w:numPr>
          <w:ilvl w:val="0"/>
          <w:numId w:val="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val="0"/>
          <w:bCs w:val="0"/>
          <w:sz w:val="24"/>
          <w:szCs w:val="24"/>
        </w:rPr>
        <w:t>Predictive Analytics</w:t>
      </w:r>
      <w:r>
        <w:rPr>
          <w:rFonts w:ascii="Times New Roman" w:hAnsi="Times New Roman" w:cs="Times New Roman"/>
          <w:sz w:val="24"/>
          <w:szCs w:val="24"/>
        </w:rPr>
        <w:t>: Customer churn is an example of an application of predictive analytical techniques where quantitative historical data analysis and score carding relying on statistical modeling, machine learning theory and artificial intelligence techniques in order to predict future customer behavior patterns.</w:t>
      </w:r>
    </w:p>
    <w:p w14:paraId="1662F6FD">
      <w:pPr>
        <w:numPr>
          <w:ilvl w:val="0"/>
          <w:numId w:val="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val="0"/>
          <w:bCs w:val="0"/>
          <w:sz w:val="24"/>
          <w:szCs w:val="24"/>
        </w:rPr>
        <w:t>Telecommunication Industry</w:t>
      </w:r>
      <w:r>
        <w:rPr>
          <w:rFonts w:ascii="Times New Roman" w:hAnsi="Times New Roman" w:cs="Times New Roman"/>
          <w:sz w:val="24"/>
          <w:szCs w:val="24"/>
        </w:rPr>
        <w:t>: This is the industry that deals with the communication of information through technology equipment, for example, telephone, internet, Wireless Local Area Network. It includes the lipid that sell voice, data, and multimedia to the consumers and other businesses.</w:t>
      </w:r>
    </w:p>
    <w:p w14:paraId="6DAA09EB">
      <w:pPr>
        <w:numPr>
          <w:ilvl w:val="0"/>
          <w:numId w:val="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val="0"/>
          <w:bCs w:val="0"/>
          <w:sz w:val="24"/>
          <w:szCs w:val="24"/>
        </w:rPr>
        <w:t>Network Coverage</w:t>
      </w:r>
      <w:r>
        <w:rPr>
          <w:rFonts w:ascii="Times New Roman" w:hAnsi="Times New Roman" w:cs="Times New Roman"/>
          <w:sz w:val="24"/>
          <w:szCs w:val="24"/>
        </w:rPr>
        <w:t>: This denotes the region that user can access a telecommunication network. It defines how you are connected to make voice calls, send messages or browse the web, among others.</w:t>
      </w:r>
    </w:p>
    <w:p w14:paraId="2F4B7D8C">
      <w:pPr>
        <w:numPr>
          <w:ilvl w:val="0"/>
          <w:numId w:val="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val="0"/>
          <w:bCs w:val="0"/>
          <w:sz w:val="24"/>
          <w:szCs w:val="24"/>
        </w:rPr>
        <w:t>Service Quality</w:t>
      </w:r>
      <w:r>
        <w:rPr>
          <w:rFonts w:ascii="Times New Roman" w:hAnsi="Times New Roman" w:cs="Times New Roman"/>
          <w:sz w:val="24"/>
          <w:szCs w:val="24"/>
        </w:rPr>
        <w:t>: This regards the general ability of the telecommunication services to provide quality services by aspects such as the quality of calls, internet speeds and frequency of call disruptions or call drops. Quality services assist in creating and maintaining good relationship with the buyers.</w:t>
      </w:r>
    </w:p>
    <w:p w14:paraId="7E1C4364">
      <w:pPr>
        <w:numPr>
          <w:ilvl w:val="0"/>
          <w:numId w:val="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val="0"/>
          <w:bCs w:val="0"/>
          <w:sz w:val="24"/>
          <w:szCs w:val="24"/>
        </w:rPr>
        <w:t>Personalized Services</w:t>
      </w:r>
      <w:r>
        <w:rPr>
          <w:rFonts w:ascii="Times New Roman" w:hAnsi="Times New Roman" w:cs="Times New Roman"/>
          <w:sz w:val="24"/>
          <w:szCs w:val="24"/>
        </w:rPr>
        <w:t xml:space="preserve">: It is a special kind of product or service that is developed with special consideration to suit a particular customer. Some examples include </w:t>
      </w:r>
      <w:r>
        <w:rPr>
          <w:rFonts w:ascii="Times New Roman" w:hAnsi="Times New Roman" w:cs="Times New Roman"/>
          <w:sz w:val="24"/>
          <w:szCs w:val="24"/>
          <w:lang w:val="en-US"/>
        </w:rPr>
        <w:t>accession</w:t>
      </w:r>
      <w:r>
        <w:rPr>
          <w:rFonts w:ascii="Times New Roman" w:hAnsi="Times New Roman" w:cs="Times New Roman"/>
          <w:sz w:val="24"/>
          <w:szCs w:val="24"/>
        </w:rPr>
        <w:t xml:space="preserve"> services like data plans that might be unique to some customers, rewards for being loyal customers or advertisements created based on the usage record of a certain customer.</w:t>
      </w:r>
    </w:p>
    <w:p w14:paraId="1D5243DF">
      <w:pPr>
        <w:numPr>
          <w:ilvl w:val="0"/>
          <w:numId w:val="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val="0"/>
          <w:bCs w:val="0"/>
          <w:sz w:val="24"/>
          <w:szCs w:val="24"/>
        </w:rPr>
        <w:t>Customer Demographics</w:t>
      </w:r>
      <w:r>
        <w:rPr>
          <w:rFonts w:ascii="Times New Roman" w:hAnsi="Times New Roman" w:cs="Times New Roman"/>
          <w:sz w:val="24"/>
          <w:szCs w:val="24"/>
        </w:rPr>
        <w:t xml:space="preserve">: It denotes the probabilistic tendencies of users of telecommunication solutions, including but not limited to age, gender, income and education levels, or geographical location. Customer demographic information is of </w:t>
      </w:r>
      <w:r>
        <w:rPr>
          <w:rFonts w:ascii="Times New Roman" w:hAnsi="Times New Roman" w:cs="Times New Roman"/>
          <w:sz w:val="24"/>
          <w:szCs w:val="24"/>
          <w:lang w:val="en-US"/>
        </w:rPr>
        <w:t>utmost</w:t>
      </w:r>
      <w:r>
        <w:rPr>
          <w:rFonts w:ascii="Times New Roman" w:hAnsi="Times New Roman" w:cs="Times New Roman"/>
          <w:sz w:val="24"/>
          <w:szCs w:val="24"/>
        </w:rPr>
        <w:t xml:space="preserve"> importance in developing and implementing service and marketing strategies.</w:t>
      </w:r>
    </w:p>
    <w:p w14:paraId="78029541">
      <w:pPr>
        <w:numPr>
          <w:ilvl w:val="0"/>
          <w:numId w:val="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val="0"/>
          <w:bCs w:val="0"/>
          <w:sz w:val="24"/>
          <w:szCs w:val="24"/>
        </w:rPr>
        <w:t>Performance Evaluation:</w:t>
      </w:r>
      <w:r>
        <w:rPr>
          <w:rFonts w:ascii="Times New Roman" w:hAnsi="Times New Roman" w:cs="Times New Roman"/>
          <w:sz w:val="24"/>
          <w:szCs w:val="24"/>
        </w:rPr>
        <w:t xml:space="preserve"> This involves assessing the effectiveness and efficiency of telecommunication services or strategies. It includes measuring metrics such as customer satisfaction, network reliability, revenue growth, and the accuracy of predictive models in identifying customer churn.</w:t>
      </w:r>
    </w:p>
    <w:p w14:paraId="1624D740">
      <w:pPr>
        <w:spacing w:after="0" w:line="360" w:lineRule="auto"/>
        <w:jc w:val="both"/>
        <w:rPr>
          <w:rFonts w:ascii="Times New Roman" w:hAnsi="Times New Roman" w:cs="Times New Roman"/>
          <w:sz w:val="24"/>
          <w:szCs w:val="24"/>
        </w:rPr>
      </w:pPr>
    </w:p>
    <w:p w14:paraId="1E6276D0">
      <w:pPr>
        <w:pStyle w:val="17"/>
        <w:spacing w:line="360" w:lineRule="auto"/>
        <w:jc w:val="both"/>
      </w:pPr>
    </w:p>
    <w:p w14:paraId="4274C4C2">
      <w:pPr>
        <w:spacing w:after="0" w:line="360" w:lineRule="auto"/>
        <w:rPr>
          <w:rFonts w:ascii="Times New Roman" w:hAnsi="Times New Roman" w:cs="Times New Roman"/>
          <w:b/>
          <w:bCs/>
          <w:sz w:val="24"/>
          <w:szCs w:val="24"/>
        </w:rPr>
      </w:pPr>
    </w:p>
    <w:p w14:paraId="14AD0CFD">
      <w:pPr>
        <w:pStyle w:val="2"/>
        <w:spacing w:line="360" w:lineRule="auto"/>
        <w:rPr>
          <w:rFonts w:cs="Times New Roman"/>
          <w:szCs w:val="24"/>
        </w:rPr>
      </w:pPr>
      <w:bookmarkStart w:id="11" w:name="_Toc183163323"/>
      <w:r>
        <w:rPr>
          <w:rFonts w:cs="Times New Roman"/>
          <w:szCs w:val="24"/>
        </w:rPr>
        <w:t>CHAPTER TWO</w:t>
      </w:r>
      <w:bookmarkEnd w:id="11"/>
    </w:p>
    <w:p w14:paraId="4DD7F677">
      <w:pPr>
        <w:pStyle w:val="2"/>
        <w:spacing w:line="360" w:lineRule="auto"/>
        <w:rPr>
          <w:rFonts w:cs="Times New Roman"/>
          <w:szCs w:val="24"/>
        </w:rPr>
      </w:pPr>
      <w:bookmarkStart w:id="12" w:name="_Toc183163324"/>
      <w:r>
        <w:rPr>
          <w:rFonts w:cs="Times New Roman"/>
          <w:szCs w:val="24"/>
        </w:rPr>
        <w:t>LITERATURE REVIEW</w:t>
      </w:r>
      <w:bookmarkEnd w:id="12"/>
    </w:p>
    <w:p w14:paraId="711701AD">
      <w:pPr>
        <w:pStyle w:val="3"/>
        <w:spacing w:line="360" w:lineRule="auto"/>
      </w:pPr>
      <w:bookmarkStart w:id="13" w:name="_Toc183163325"/>
      <w:r>
        <w:t>2.1</w:t>
      </w:r>
      <w:r>
        <w:rPr>
          <w:rFonts w:hint="default"/>
          <w:lang w:val="en-US"/>
        </w:rPr>
        <w:tab/>
      </w:r>
      <w:r>
        <w:t>Concept of Customer Churn in Telecommunications</w:t>
      </w:r>
      <w:bookmarkEnd w:id="13"/>
      <w:r>
        <w:t xml:space="preserve"> </w:t>
      </w:r>
    </w:p>
    <w:p w14:paraId="1AA850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churn, sometimes called customer attrition, is one of the key measures of telecommunications companies that reflects the rate of customer desertion (Chang et al.,2024). It is crucial to define churn and its types to be able to create proper retention strategies. Broadly, customer churn can be classified into two categories: customer churn and forced churn (Amin et al.,2018).</w:t>
      </w:r>
    </w:p>
    <w:p w14:paraId="46333AC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kind of churn is one in which customers themselves choose to end their relationship with a provider. This decision can be as a result of many reasons with the main one being customer dissatisfaction or the perceived better offers from other service providers. A major motivator is dissatisfaction with services received where customer expectations and their goal have not been met from the service provider end through frequent call drops, slow internet connection or low network coverage. For instance, Huang and Wang (2018) deem that among the key account as determinants of customer loyalty are network performance in the telecommunications sector. In addition, the matters that concern customer relations are also very significant. This avails operational service </w:t>
      </w:r>
      <w:r>
        <w:rPr>
          <w:rFonts w:ascii="Times New Roman" w:hAnsi="Times New Roman" w:cs="Times New Roman"/>
          <w:sz w:val="24"/>
          <w:szCs w:val="24"/>
          <w:lang w:val="en-US"/>
        </w:rPr>
        <w:t>duration</w:t>
      </w:r>
      <w:r>
        <w:rPr>
          <w:rFonts w:hint="default" w:ascii="Times New Roman" w:hAnsi="Times New Roman" w:cs="Times New Roman"/>
          <w:sz w:val="24"/>
          <w:szCs w:val="24"/>
          <w:lang w:val="en-US"/>
        </w:rPr>
        <w:t>s</w:t>
      </w:r>
      <w:r>
        <w:rPr>
          <w:rFonts w:ascii="Times New Roman" w:hAnsi="Times New Roman" w:cs="Times New Roman"/>
          <w:sz w:val="24"/>
          <w:szCs w:val="24"/>
        </w:rPr>
        <w:t xml:space="preserve"> relative to the amounts of time that customers have to wait for assistance, unresolved issues, and strands of communication that objective customers, compelling them to shift their allegiance to better-supporting providers (Lee, 2020).</w:t>
      </w:r>
    </w:p>
    <w:p w14:paraId="3662ADE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Pricing and billing issues as a category are generally considered to be a significant reason for voluntary churn. Subscribers might also be unfollowing due to existence of high costs or hidden charges as well as wrong billings (Smith, 2019). In a competitive environment where price factors can dictate the customers’ decision, simplicity in billing and reasonable price should be employed. Also, the competitors’ attractive offers are a major reason that customers switch sides. Telecom companies often undertake cutthroat promotional strategies to capture the attention of the consumer with respect to the pricing plans, service packages and value-added services (Kim et al., 2021).</w:t>
      </w:r>
    </w:p>
    <w:p w14:paraId="02B52C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Voluntary churn can also be brought about by changes in life style. The factors that can cause customers to cancel their services include; Relocation, job loss, need for a different job, financial strains, and family issues. For instance, a customer migrating to an area with inadequate service provision from the current provider may go to the rival firm (Bandyopadhyay and Martell, 2017). Moreover, technological dynamics also appear to be at work, in that customers may migrate to different providers if the latter offers newer technologies, for instance 5G networks than what their current provider can provide., Wirtz et al (2023).</w:t>
      </w:r>
    </w:p>
    <w:p w14:paraId="7B692D4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On the other hand, the involuntary churn takes place when the service provider ends the customer relationship. It is different from user-initiated churn, in that it may stem from factors such as non payment, regulatory changes, internal business decisions by the service provider. Involuntary churn can further be described as erroneous churn caused by non-payment where customers who haven’t paid their bills are disconnected (Anderson &amp; Srinivasan, 2003). This is also a type of churn that is involuntary because a provider can be compelled to cease offering some service due to regulatory adjustments. The government may change its policies or licensing agreements which forces providers to shut down their services to some geographically or by service type (Vlachos, 2018).</w:t>
      </w:r>
    </w:p>
    <w:p w14:paraId="0CFB864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Some of the common causes for service termination by the provider include a deliberate plan to improve service delivery by replacing some of the existing networks, some services might be shut down for a certain period due to upgrades among others while others might be due to mergers or acquisitions. This can push the customers to change the provider, which results in the exclusion of involuntary churn (Jiang and Klein, 2019). Another factor is fraudulent behavior although this we may see telecom companies canceling the service if they evidence fraudulent or misuse of services (Wei and Chiu, 2022). Further, providers may cease offering services to customers who not only don’t generate any revenue for themselves but are also not particularly good for business. Examples of this strategy include the firing of customers with limited usage or contribution in the firm’s revenue (Liu and Shih, 2015).</w:t>
      </w:r>
    </w:p>
    <w:p w14:paraId="285ABE6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problems of customer churn are highly significant for telecommunications firms in terms of revenue, efficiency, and market standing. The biggest rub is the revenue impact where organizations lose the regular revenue earned by the customer who churned. This is especially so especially in an industry in which the lifetime value of customers is a measurement most often used (Gupta et al., 2016). They are also associated with higher customer acquisition costs due to the high churn rate that is always observed. The price to attract new customers is normally higher than the price required to maintain existing customer, therefore to attract new customers more marketing and sales effort is done to ensure that they get new customers, in the process the cost of acquisition rises (Blattberg et al., 2019).</w:t>
      </w:r>
    </w:p>
    <w:p w14:paraId="3C46B41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effect of high churn rates…it put a lot of pressure on the customer services team, there are great challenges in handling customers’ change of allegiance and there can be issues with the network (Ahn et al., 2016). High churn rates are bad for a firm because they give the wrong signal to the market place that customers are not happy with the product. From this perception, potential customers are likely to be discouraged and the competitive standing of the company is likely to be eroded (Verhoef et al., 2010). In addition, the churn of customers clearly threatens endeavors to foster customer loyalty and positive word-of-mouth. The customers also recommend the company and its products to others, but high rates of attrition diminish these advantages (Anderson, 2018).</w:t>
      </w:r>
    </w:p>
    <w:p w14:paraId="7F7754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Churn rates remain significant challenges to telecommunications companies which use a range of tactics to tackle it and improve customer loyalty. The customers with such intentions are easily flagged early on and companies now leverage predictive analytics as well as machine learning models. Analyzing and identifying the likelihood of customers to churn allows companies to carry out specific retention measures (Lemmens and Croux, 2016).</w:t>
      </w:r>
    </w:p>
    <w:p w14:paraId="1FF0DE2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service requires priority, and more flow, customer service training, effective facilities and timely personal attention to resolve the customer’s problem or complaint, customer satisfaction (Homburg and Giering, 2021).</w:t>
      </w:r>
    </w:p>
    <w:p w14:paraId="7686841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Product and service pricing and other incentives are another important factor for driving the consumers’ traffic. Open pricing and subsequent services of reasonable cost are prerequisites for trust (Bolton et al., 2020). Investing on infrastructure and improving service quality, increasing coverage and minimizing disruption can increase customer satisfaction in networks services (Verhoef et al., 2017). Communicative and interaction plans can introduce a greater level of customer bonding, which in turn would create more effective marketing, as well as targeting relevant content to clients to foster loyalty (Blattberg et al., 2019).</w:t>
      </w:r>
    </w:p>
    <w:p w14:paraId="2187042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When it comes to gain insights from customer, feedback can be sought and acted upon can go a long way in building improvement. Customer surveys and monitoring have been used to establish areas that require improvement (Reichheld and Sasser, 1990). The availability of various contract types and payment options may meet the needs of consumers and minimize contractible behavior (Kim et al., 2021). Loyalty strategies such as offering long term prizes to customers can help in encouraging customer loyalty. Customer loyalty can be a driving factor when customers are appreciated in the organization (Verhoef, 2013).</w:t>
      </w:r>
    </w:p>
    <w:p w14:paraId="53B65D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Exploring customer churn and its causes becomes relevant when differentiating between telecommunication customers’ churn and exploring why it happens. Customer churn, the kind that occurs due to dissatisfaction with the company’s services, or even better offers from competitors can be hugely tasking, as is [retention that is occasioned by non-payment or instantaneous change of regulatory frameworks within the telecom sector]. Through the use of predictive analytics, improvement in the customer service delivered as well as the integration of proper strategies of retaining customers, churn becomes something that is avoided effectively by firms.</w:t>
      </w:r>
    </w:p>
    <w:p w14:paraId="163945F6">
      <w:pPr>
        <w:pStyle w:val="3"/>
        <w:bidi w:val="0"/>
        <w:spacing w:line="360" w:lineRule="auto"/>
      </w:pPr>
      <w:r>
        <w:t>2.2</w:t>
      </w:r>
      <w:r>
        <w:rPr>
          <w:rFonts w:hint="default"/>
          <w:lang w:val="en-US"/>
        </w:rPr>
        <w:tab/>
      </w:r>
      <w:r>
        <w:t xml:space="preserve">Major </w:t>
      </w:r>
      <w:r>
        <w:rPr>
          <w:rFonts w:hint="default"/>
          <w:lang w:val="en-US"/>
        </w:rPr>
        <w:t>C</w:t>
      </w:r>
      <w:r>
        <w:t xml:space="preserve">auses of </w:t>
      </w:r>
      <w:r>
        <w:rPr>
          <w:rFonts w:hint="default"/>
          <w:lang w:val="en-US"/>
        </w:rPr>
        <w:t>C</w:t>
      </w:r>
      <w:r>
        <w:t xml:space="preserve">ustomer </w:t>
      </w:r>
      <w:r>
        <w:rPr>
          <w:rFonts w:hint="default"/>
          <w:lang w:val="en-US"/>
        </w:rPr>
        <w:t>C</w:t>
      </w:r>
      <w:r>
        <w:t xml:space="preserve">hurn in </w:t>
      </w:r>
      <w:r>
        <w:rPr>
          <w:rFonts w:hint="default"/>
          <w:lang w:val="en-US"/>
        </w:rPr>
        <w:t>T</w:t>
      </w:r>
      <w:r>
        <w:t>elecommunications</w:t>
      </w:r>
    </w:p>
    <w:p w14:paraId="2E3DA29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nature and extent of customer churn: the rate at which customers cancel their service with a provider is determined by a host not 50 preventable factors. Knowledge of these issues is critical vital to the success of any desires by these telecommunications firms that seek to ‘lock-in’ their customers. Some factors that define customer churn are; Service quality, price, and competition among others.</w:t>
      </w:r>
    </w:p>
    <w:p w14:paraId="0D936BD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Service Quality</w:t>
      </w:r>
    </w:p>
    <w:p w14:paraId="6B9D3A5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Owning to this, there is a positivism that directly relates to the quality of service that you deliver as a firm to its customers. It contains different aspects of a network, for instance, network performance, customer support, and service reliability. When service quality is high, customer loyalty is achieved, but in case service quality is low, the customers will left to the competitors.</w:t>
      </w:r>
    </w:p>
    <w:p w14:paraId="09D546D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Reliability forms the core of telecommunication network service delivery in the global economy. Parameters like call drops, low internet speeds and poor network accessibility are some of the causes of perceived customer </w:t>
      </w:r>
      <w:r>
        <w:rPr>
          <w:rFonts w:ascii="Times New Roman" w:hAnsi="Times New Roman" w:cs="Times New Roman"/>
          <w:sz w:val="24"/>
          <w:szCs w:val="24"/>
          <w:lang w:val="en-US"/>
        </w:rPr>
        <w:t>dissatisfaction</w:t>
      </w:r>
      <w:r>
        <w:rPr>
          <w:rFonts w:ascii="Times New Roman" w:hAnsi="Times New Roman" w:cs="Times New Roman"/>
          <w:sz w:val="24"/>
          <w:szCs w:val="24"/>
        </w:rPr>
        <w:t>. From the study conducted by De Bruyn and Lilien in 2018, showed that customers with poor network performance signals exit the network. The overall dependability of the network as well as frequency with which customers are able to connect to the service and the duration of any interruptions all influence customer loyalty.</w:t>
      </w:r>
    </w:p>
    <w:p w14:paraId="560BC1E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Quality of Customer support equally contribute hugely to churn rates. Customers wish that in case of any difficulties they encounter, they should be served well, fast and with some level of courtesy. This means that where wait time is long, responses are unhelpful or problems unsolved, customer will likely churn. For instance, Yang and Peterson (2014) note that first of all, </w:t>
      </w:r>
      <w:r>
        <w:rPr>
          <w:rFonts w:ascii="Times New Roman" w:hAnsi="Times New Roman" w:cs="Times New Roman"/>
          <w:sz w:val="24"/>
          <w:szCs w:val="24"/>
          <w:lang w:val="en-US"/>
        </w:rPr>
        <w:t>organizations</w:t>
      </w:r>
      <w:r>
        <w:rPr>
          <w:rFonts w:ascii="Times New Roman" w:hAnsi="Times New Roman" w:cs="Times New Roman"/>
          <w:sz w:val="24"/>
          <w:szCs w:val="24"/>
        </w:rPr>
        <w:t xml:space="preserve"> can ensure that superb customer relations can mask the effects of services malperformance. Therefore, proper staffing and training of support staff is important in increasing customer satisfaction and decreasing cancellation rates.</w:t>
      </w:r>
    </w:p>
    <w:p w14:paraId="1C19C6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final aspect relates to the general service reliability, where dependability of services and services continuity is assessed. From customer’s perspective they do not expect their Telecom services be interrupted often. This will translate to higher service reliability, customer satisfaction and loyalty as pointed out by Gerpott and colleagues in their recent article.</w:t>
      </w:r>
    </w:p>
    <w:p w14:paraId="23EBABA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Pricing</w:t>
      </w:r>
    </w:p>
    <w:p w14:paraId="23257DC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Fees structure is another major factor that had affected the customer churn in telecommunications industry. This ranges from the actual cost of the service offered as well as the perceived worth of the money paid, the structure of the billing system as well as the issue of hidden charges. In this sense while one’s pricing strategy involves getting to the market with relatively low prices more so to price… competitors may charge high prices or cause some customers to switch to other punitive measures such as billing issues may lead to customers moving to other service providers.</w:t>
      </w:r>
    </w:p>
    <w:p w14:paraId="705675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Customers’ biggest concern has always been the cost of telecommunications services. Chen: Expensive, particularly when compared with other do-it-yourself solutions, and are likely to cause customers to jump ship. Customers look for a way to cut down their costs and get better value for their money especially where they can find a number of providers offering similar products and services. Customers have been also identified by Kim et al. (2021) as being very sensitive to price and ready to switch and find cheaper providers.</w:t>
      </w:r>
    </w:p>
    <w:p w14:paraId="3FF91DB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Ergonomically, or custom, value for money from this perception is equally key. Consumers put a qualitative value that is measured, on the benefits received on one hand against perceived cost on the other. But if they have the impression that the service quality and features do not reflect the cost they are ready to change their service provider. Maintaining quality service delivery at reasonable costs, acts as a way of optimizing the perceived value which minimizes churn (Bolton et al., 2010).</w:t>
      </w:r>
    </w:p>
    <w:p w14:paraId="52F5AEF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Flat and open billing policies also influence the satisfaction levels and loyalty of the customers and this also indicates that hidden charges are also present. Such events and scenarios are acceptable to customer decadence and may soon make them leave due to alterative billing accepted by the company. Reliability in the accounts records is a critical aspect of carrying out the operations hence a necessity to apply reliable billing procedures. In their article, Smith (2019) confirmed that better communications in relation to pricing and billing are crucial to stepping down churn rates.</w:t>
      </w:r>
    </w:p>
    <w:p w14:paraId="364586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Competition</w:t>
      </w:r>
    </w:p>
    <w:p w14:paraId="243F2D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 found that the competition pressure within the context of the telecommunication industry substantially influences the customers’ churn. When there are many providers of similar services as in case with FNB, the customers will easily switch to competitors. It has further pushed companies to work harder at trying to develop new products and services that would help in customer retention in the fiercely competitive market that is being observed.</w:t>
      </w:r>
    </w:p>
    <w:p w14:paraId="26C100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competitors help create customer appeal through relentless advertisement and marketing techniques that include special offers, free trials and additional added services. These offers can sometimes be attractive to the consumer as result, the provider switches providers. According to Bandyopadhyay &amp; Martell, it was revealed by Competing promotional strategies that customer turnover is affected. To offset this, there is need for companies to price their products competitively and charged differential value-added services.</w:t>
      </w:r>
    </w:p>
    <w:p w14:paraId="55411F3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Another forecast factor is technological changes as well as the changes in the portfolio of technologies used by competitors. Customers may move to competitors, perhaps to providers who offer different technologies – such as a 5G network or other different, superior internet services compared to that of the current provider. Respondents believe that through technology, it is easier to retain its customers and fight churn by providing the newest services (Wirtz &amp; Lihotzky, 2013).</w:t>
      </w:r>
    </w:p>
    <w:p w14:paraId="3E58345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It automatically can be seen that brand identity and brand reputation are crucial in a competitive market. The last observation: companies, which have loyal customers and positive image, have better chances to retain them. Brand management entails ensuring that the services to be offered are of high quality, there is an efficient quality customer service, and the company sustains good public image. The study by Verhoef et al. (2017) shows that brand loyalty can help </w:t>
      </w:r>
      <w:r>
        <w:rPr>
          <w:rFonts w:ascii="Times New Roman" w:hAnsi="Times New Roman" w:cs="Times New Roman"/>
          <w:sz w:val="24"/>
          <w:szCs w:val="24"/>
          <w:lang w:val="en-US"/>
        </w:rPr>
        <w:t>reduce</w:t>
      </w:r>
      <w:r>
        <w:rPr>
          <w:rFonts w:ascii="Times New Roman" w:hAnsi="Times New Roman" w:cs="Times New Roman"/>
          <w:sz w:val="24"/>
          <w:szCs w:val="24"/>
        </w:rPr>
        <w:t xml:space="preserve"> the churn rates to a considerable extent.</w:t>
      </w:r>
    </w:p>
    <w:p w14:paraId="58DCA48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Other Factors</w:t>
      </w:r>
    </w:p>
    <w:p w14:paraId="23A0AE5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However, there are other factors that assume importance in the telecommunications industry for affecting the customer churn figures apart from service quality, pricing and competition. Such examples of competitive intelligence are customer descriptors, customers’ behavior, and contractual provisions.</w:t>
      </w:r>
    </w:p>
    <w:p w14:paraId="664D8E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Churn rates tend to be influenced by customer demographics – for example, customers’ age, income and education level. Bandura &amp; Locke, 2003 Grieving and Bereavement: Coping Styles, Gender, and Ethnic Differences While the above demographic and geographic, some group may have higher expectations than the others and in some may need the service in a different way than the other one. For instance, younger audience may consider speed and mobile data as important while the old audience may consider reliability and customer support important. Thus, addressing the specific needs of various groups of the target consumers minimizes churn levels (Ahn et al., 2016).</w:t>
      </w:r>
    </w:p>
    <w:p w14:paraId="485A325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Usage patterns, including the frequency and type of services used, can also influence churn. Customers who heavily rely on telecommunications services for their daily activities are more likely to churn if they experience service disruptions. Conversely, customers with low usage might churn due to perceived lack of value. Analyzing usage patterns can help companies identify at-risk customers and implement targeted retention strategies (Gupta et al., 2016).</w:t>
      </w:r>
    </w:p>
    <w:p w14:paraId="4749F6D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Contractual terms, such as contract length and termination fees, can impact churn. Long-term contracts with high termination fees might deter customers from switching providers, but they can also lead to dissatisfaction if customers feel trapped. Offering flexible contract options and incentives for contract renewals can help improve customer retention (Kim et al., 2021).</w:t>
      </w:r>
    </w:p>
    <w:p w14:paraId="7B8E8724">
      <w:pPr>
        <w:pStyle w:val="3"/>
        <w:spacing w:line="360" w:lineRule="auto"/>
      </w:pPr>
      <w:bookmarkStart w:id="14" w:name="_Toc183163327"/>
      <w:r>
        <w:t>2.3</w:t>
      </w:r>
      <w:r>
        <w:rPr>
          <w:rFonts w:hint="default"/>
          <w:lang w:val="en-US"/>
        </w:rPr>
        <w:tab/>
      </w:r>
      <w:r>
        <w:t>Traditional Methods for Churn Prediction</w:t>
      </w:r>
      <w:r>
        <w:rPr>
          <w:rFonts w:hint="default"/>
          <w:lang w:val="en-US"/>
        </w:rPr>
        <w:t xml:space="preserve"> -</w:t>
      </w:r>
      <w:r>
        <w:t xml:space="preserve"> Statistical Methods</w:t>
      </w:r>
      <w:bookmarkEnd w:id="14"/>
    </w:p>
    <w:p w14:paraId="25E35A6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the telecommunications industry, predicting customer churn is a vital task to help mitigate the loss of customers and improve retention strategies. Traditional statistical methods, such as logistic regression and survival analysis, have been widely used for churn prediction due to their simplicity, interpretability, and effectiveness in handling structured data.</w:t>
      </w:r>
    </w:p>
    <w:p w14:paraId="1E0FF1A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2.3.1 Logistic Regression</w:t>
      </w:r>
    </w:p>
    <w:p w14:paraId="64B6F53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Logistic regression is one of the most commonly used statistical methods for churn prediction. It is a type of regression analysis used for predicting the probability of a binary outcome, such as whether a customer will churn or not. The logistic regression model estimates the relationship between one dependent binary variable and one or more independent variables, which can be categorical or continuous.</w:t>
      </w:r>
    </w:p>
    <w:p w14:paraId="59E99BB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main advantage of logistic regression is its simplicity and ease of implementation. It provides coefficients for each predictor variable, which can be interpreted to understand the influence of each factor on the likelihood of churn. For example, if a coefficient for service quality is negative, it indicates that higher service quality reduces the probability of churn. This interpretability makes logistic regression a popular choice for churn prediction models in the telecommunications industry (Hosmer, Lemeshow, and Sturdivant, 2013).</w:t>
      </w:r>
    </w:p>
    <w:p w14:paraId="720699EF">
      <w:pPr>
        <w:spacing w:after="0" w:line="360" w:lineRule="auto"/>
        <w:jc w:val="both"/>
        <w:rPr>
          <w:rFonts w:ascii="Times New Roman" w:hAnsi="Times New Roman" w:cs="Times New Roman"/>
          <w:sz w:val="24"/>
          <w:szCs w:val="24"/>
        </w:rPr>
      </w:pPr>
    </w:p>
    <w:p w14:paraId="024C4E5A">
      <w:pPr>
        <w:spacing w:after="0" w:line="360" w:lineRule="auto"/>
        <w:jc w:val="both"/>
        <w:rPr>
          <w:rFonts w:ascii="Times New Roman" w:hAnsi="Times New Roman" w:cs="Times New Roman"/>
          <w:sz w:val="24"/>
          <w:szCs w:val="24"/>
        </w:rPr>
      </w:pPr>
    </w:p>
    <w:p w14:paraId="4466952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Logistic regression models are built using the following steps:</w:t>
      </w:r>
    </w:p>
    <w:p w14:paraId="2E74FD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Data Collection and Preprocessing: Collect data on customer demographics, service usage patterns, billing information, and other relevant variables. Clean the data to handle missing values, outliers, and inconsistencies.</w:t>
      </w:r>
    </w:p>
    <w:p w14:paraId="5939328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Feature Selection: Identify and select the most relevant features that influence customer churn. This can be done using techniques like correlation analysis, recursive feature elimination, or domain knowledge.</w:t>
      </w:r>
    </w:p>
    <w:p w14:paraId="02555B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Model Training: Split the dataset into training and testing sets. Train the logistic regression model using the training set, and tune the model parameters to achieve the best fit.</w:t>
      </w:r>
    </w:p>
    <w:p w14:paraId="1F9CCAD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Model Evaluation: Evaluate the model's performance using metrics such as accuracy, precision, recall, F1-score, and the area under the ROC curve (AUC-ROC). Validate the model using the testing set to ensure its generalizability.</w:t>
      </w:r>
    </w:p>
    <w:p w14:paraId="5D1EEF4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One limitation of logistic regression is its assumption of a linear relationship between the independent variables and the log odds of the dependent variable. This assumption may not hold true in all cases, leading to suboptimal performance. Moreover, logistic regression may struggle with multicollinearity, where predictor variables are highly correlated, potentially distorting the estimated coefficients.</w:t>
      </w:r>
    </w:p>
    <w:p w14:paraId="06CE5EB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2.3.2 Survival Analysis</w:t>
      </w:r>
    </w:p>
    <w:p w14:paraId="3614903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Survival analysis, also known as time-to-event analysis, is another powerful statistical method used for churn prediction. Unlike logistic regression, which predicts the probability of churn at a specific point in time, survival analysis models the time until an event occurs, such as customer churn. This method is particularly useful for understanding not only whether a customer will churn, but also when they are likely to churn.</w:t>
      </w:r>
    </w:p>
    <w:p w14:paraId="4DED398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Survival analysis involves several key concepts:</w:t>
      </w:r>
    </w:p>
    <w:p w14:paraId="20C444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Survival Function (S(t)): This function estimates the probability that a customer will survive (not churn) beyond a certain time point t.</w:t>
      </w:r>
    </w:p>
    <w:p w14:paraId="24937A5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Hazard Function (λ(t)): This function estimates the instantaneous rate at which customers are expected to churn at time t, given that they have not churned until that time.</w:t>
      </w:r>
    </w:p>
    <w:p w14:paraId="48C8B5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Cox proportional hazards model is one of the most widely used survival analysis techniques. It models the hazard function as a product of a baseline hazard function and a set of covariates. </w:t>
      </w:r>
    </w:p>
    <w:p w14:paraId="56E3A5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Cox model does not assume any specific distribution for the survival times, making it a flexible choice for churn prediction. It allows for the estimation of the effect of multiple covariates on the hazard rate, providing insights into the factors that influence customer churn (Cox, 1972).</w:t>
      </w:r>
    </w:p>
    <w:p w14:paraId="7641C63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steps involved in building a survival analysis model are similar to those for logistic regression:</w:t>
      </w:r>
    </w:p>
    <w:p w14:paraId="545EEC4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Data Collection and Preprocessing: Gather data on customer characteristics and service usage, and preprocess it to handle missing values and outliers.</w:t>
      </w:r>
    </w:p>
    <w:p w14:paraId="589C0D3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Feature Selection: Select relevant features that are expected to influence the time to churn.</w:t>
      </w:r>
    </w:p>
    <w:p w14:paraId="75B4604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Model Training: Train the Cox proportional hazards model using the training dataset. Estimate the coefficients for the covariates and the baseline hazard function.</w:t>
      </w:r>
    </w:p>
    <w:p w14:paraId="23DF824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Model Evaluation: Evaluate the model's performance using metrics such as concordance index (C-index), which measures the model's ability to rank the predicted survival times correctly.</w:t>
      </w:r>
    </w:p>
    <w:p w14:paraId="5096A87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One advantage of survival analysis is its ability to handle censored data, where the event of interest (churn) has not occurred for some customers by the end of the observation period. This feature allows for the inclusion of all available data in the analysis, improving the robustness of the model (Kleinbaum and Klein, 2012).</w:t>
      </w:r>
    </w:p>
    <w:p w14:paraId="3EC933D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Comparisons and Considerations</w:t>
      </w:r>
    </w:p>
    <w:p w14:paraId="47D7C1A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Both logistic regression and survival analysis offer unique strengths and can be valuable tools for churn prediction in telecommunications. Logistic regression is straightforward, easy to interpret, and effective for binary classification problems. However, it may not capture the time dimension of churn, which can be critical for developing timely intervention strategies.</w:t>
      </w:r>
    </w:p>
    <w:p w14:paraId="3B2D4D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Survival analysis, on the other hand, explicitly models the time to churn, providing deeper insights into the timing and dynamics of customer churn. This information can help telecommunications companies develop proactive retention strategies, such as offering targeted promotions to customers predicted to churn soon.</w:t>
      </w:r>
    </w:p>
    <w:p w14:paraId="54014B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practice, the choice between logistic regression and survival analysis depends on the specific goals of the churn prediction project and the nature of the available data. For instance, if the primary goal is to understand the factors influencing churn and to classify customers into churners and non-churners, logistic regression may be appropriate. If the goal is to predict when customers are likely to churn and to understand the timing of churn, survival analysis may be more suitable.</w:t>
      </w:r>
    </w:p>
    <w:p w14:paraId="50C9EB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Combining insights from both methods can also be a powerful approach. For example, logistic regression can be used to identify the key drivers of churn, while survival analysis can provide insights into the timing of churn events. By integrating these insights, telecommunications companies can develop comprehensive retention strategies that address both the likelihood and timing of customer churn.</w:t>
      </w:r>
    </w:p>
    <w:p w14:paraId="6D54077D">
      <w:pPr>
        <w:pStyle w:val="3"/>
        <w:spacing w:line="360" w:lineRule="auto"/>
      </w:pPr>
      <w:bookmarkStart w:id="15" w:name="_Toc183163328"/>
      <w:r>
        <w:t>2.4</w:t>
      </w:r>
      <w:r>
        <w:rPr>
          <w:rFonts w:hint="default"/>
          <w:lang w:val="en-US"/>
        </w:rPr>
        <w:tab/>
      </w:r>
      <w:r>
        <w:t>Limitations of Traditional Methods for Churn Prediction</w:t>
      </w:r>
      <w:bookmarkEnd w:id="15"/>
    </w:p>
    <w:p w14:paraId="4BB03A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While traditional methods like logistic regression and survival analysis have been instrumental in predicting customer churn in the telecommunications industry, they come with several limitations that can affect their accuracy and effectiveness. Understanding these limitations is crucial for improving churn prediction models and developing more sophisticated techniques.</w:t>
      </w:r>
    </w:p>
    <w:p w14:paraId="42C2FBA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Logistic Regression Limitations</w:t>
      </w:r>
    </w:p>
    <w:p w14:paraId="4D3E0E7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Assumption of Linearity: Logistic regression assumes a linear relationship between the independent variables and the log odds of the dependent variable. However, real-world relationships are often more complex and non-linear. This linearity assumption can lead to biased estimates and poor model performance when the actual relationship between variables is non-linear (Menard, 2002).</w:t>
      </w:r>
    </w:p>
    <w:p w14:paraId="60BEA7C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Handling Multicollinearity: Multicollinearity occurs when independent variables are highly correlated with each other, which can distort the estimated coefficients in a logistic regression model. High multicollinearity makes it difficult to determine the individual effect of each predictor variable on the likelihood of churn. This can lead to unreliable and unstable estimates, reducing the model's interpretability and predictive power (Allison, 2012).</w:t>
      </w:r>
    </w:p>
    <w:p w14:paraId="0D384DE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Sensitivity to Outliers: Logistic regression models are sensitive to outliers, which can disproportionately influence the model's coefficients and predictions. Outliers can arise from data entry errors, unusual customer behavior, or rare events. Without proper handling of outliers, the model's performance can degrade, leading to inaccurate predictions (Field, 2013).</w:t>
      </w:r>
    </w:p>
    <w:p w14:paraId="44103B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Feature Engineering: Logistic regression requires extensive feature engineering to transform raw data into meaningful predictors. This process involves creating interaction terms, polynomial terms, and other transformations to capture complex relationships. However, feature engineering can be time-consuming, requires domain expertise, and may not always capture all the relevant patterns in the data (James et al., 2013).</w:t>
      </w:r>
    </w:p>
    <w:p w14:paraId="3DBA2A8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sz w:val="24"/>
          <w:szCs w:val="24"/>
        </w:rPr>
        <w:t>Lack of Time Dimension: Logistic regression typically provides a static prediction of whether a customer will churn, without considering the time dimension. It does not account for the timing of churn events, which can be crucial for developing timely intervention strategies. This limitation makes it challenging to prioritize customers based on their risk of imminent churn (Hosmer, Lemeshow, and Sturdivant, 2013).</w:t>
      </w:r>
    </w:p>
    <w:p w14:paraId="29FE2AFA">
      <w:pPr>
        <w:pStyle w:val="3"/>
        <w:spacing w:line="360" w:lineRule="auto"/>
      </w:pPr>
      <w:bookmarkStart w:id="16" w:name="_Toc183163329"/>
      <w:r>
        <w:t>2.5</w:t>
      </w:r>
      <w:r>
        <w:rPr>
          <w:rFonts w:hint="default"/>
          <w:lang w:val="en-US"/>
        </w:rPr>
        <w:tab/>
      </w:r>
      <w:r>
        <w:rPr>
          <w:rFonts w:hint="default"/>
          <w:lang w:val="en-US"/>
        </w:rPr>
        <w:t xml:space="preserve">Role of </w:t>
      </w:r>
      <w:r>
        <w:t>Machine Learning in Churn Prediction</w:t>
      </w:r>
      <w:bookmarkEnd w:id="16"/>
    </w:p>
    <w:p w14:paraId="16C3799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(ML) is a subfield of artificial intelligence (AI) that involves the development of algorithms and statistical models that enable computers to perform tasks without explicit instructions. Instead, these systems learn from data, identify patterns, and make decisions based on the data they are trained on. The primary goal of machine learning is to build models that can generalize well to new, unseen data, thereby providing accurate predictions or classifications.</w:t>
      </w:r>
    </w:p>
    <w:p w14:paraId="641B3A6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algorithms can be broadly classified into three categories:</w:t>
      </w:r>
    </w:p>
    <w:p w14:paraId="039BE7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Supervised Learning: In this approach, the algorithm is trained on a labeled dataset, which means the input data is paired with the correct output. The model learns to map inputs to outputs by minimizing the error between its predictions and the actual labels. Examples of supervised learning algorithms include decision trees, support vector machines, and neural networks.</w:t>
      </w:r>
    </w:p>
    <w:p w14:paraId="0F012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Unsupervised Learning: Unlike supervised learning, unsupervised learning algorithms are trained on data without labeled responses. The goal is to uncover hidden patterns or structures within the data. Common unsupervised learning techniques include clustering (e.g., K-means clustering) and dimensionality reduction (e.g., principal component analysis).</w:t>
      </w:r>
    </w:p>
    <w:p w14:paraId="3B2735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Reinforcement Learning: In reinforcement learning, an agent learns to make decisions by interacting with an environment. The agent receives feedback in the form of rewards or penalties based on its actions and aims to maximize cumulative rewards over time. This approach is often used in applications such as game playing, robotics, and autonomous driving.</w:t>
      </w:r>
    </w:p>
    <w:p w14:paraId="6A2B49C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the telecommunications industry, predicting customer churn is a critical task for maintaining profitability and customer satisfaction. Traditional statistical methods, while useful, have limitations that can be addressed by machine learning techniques. Machine learning offers several advantages in churn prediction:</w:t>
      </w:r>
    </w:p>
    <w:p w14:paraId="19BB370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Handling Large and Complex Data: Telecommunications companies generate vast amounts of data from various sources, including customer demographics, call detail records, service usage patterns, billing information, and customer support interactions. Machine learning algorithms can process and analyze these large, complex datasets more effectively than traditional methods, uncovering intricate patterns and relationships that may not be apparent through simple statistical analysis (Provost and Fawcett, 2013).</w:t>
      </w:r>
    </w:p>
    <w:p w14:paraId="3E3A130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Improved Predictive Accuracy: Machine learning models, particularly those using ensemble methods and deep learning, often achieve higher predictive accuracy compared to traditional methods. Techniques such as random forests, gradient boosting machines, and neural networks can capture non-linear relationships and interactions between variables, leading to more accurate churn predictions (Breiman, 2001).</w:t>
      </w:r>
    </w:p>
    <w:p w14:paraId="54F8E27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Adaptability and Scalability: Machine learning models can adapt to changing customer behavior and market conditions. By continuously updating models with new data, telecommunications companies can maintain the relevance and accuracy of their churn predictions. Additionally, machine learning algorithms can be scaled to handle the growing volume of data, making them suitable for real-time churn prediction and decision-making (Domingos, 2012).</w:t>
      </w:r>
    </w:p>
    <w:p w14:paraId="6B13B5E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Automated Feature Engineering: Feature engineering, the process of creating new features from raw data to improve model performance, is a critical step in building predictive models. Machine learning algorithms, particularly deep learning models, can automatically learn relevant features from raw data, reducing the need for manual feature engineering and enabling the discovery of complex, high-dimensional patterns (LeCun, Bengio, and Hinton, 2015).</w:t>
      </w:r>
    </w:p>
    <w:p w14:paraId="6E37641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sz w:val="24"/>
          <w:szCs w:val="24"/>
        </w:rPr>
        <w:t>Enhanced Interpretability: While some machine learning models, such as deep neural networks, are often considered "black boxes" due to their complexity, recent advances have improved their interpretability. Techniques like SHAP (SHapley Additive exPlanations) and LIME (Local Interpretable Model-agnostic Explanations) provide insights into the contributions of individual features to model predictions, helping telecommunications companies understand the factors driving customer churn (Lundberg and Lee, 2017).</w:t>
      </w:r>
    </w:p>
    <w:p w14:paraId="5E07D7A4">
      <w:pPr>
        <w:pStyle w:val="3"/>
        <w:spacing w:line="360" w:lineRule="auto"/>
      </w:pPr>
      <w:bookmarkStart w:id="17" w:name="_Toc183163330"/>
      <w:r>
        <w:t>2.5.1</w:t>
      </w:r>
      <w:r>
        <w:rPr>
          <w:rFonts w:hint="default"/>
          <w:lang w:val="en-US"/>
        </w:rPr>
        <w:tab/>
      </w:r>
      <w:r>
        <w:t>Applications of Machine Learning in Churn Prediction</w:t>
      </w:r>
      <w:bookmarkEnd w:id="17"/>
    </w:p>
    <w:p w14:paraId="6DE890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techniques can be applied to churn prediction in various ways, enhancing the ability of telecommunications companies to identify at-risk customers and implement effective retention strategies. Some common machine learning approaches for churn prediction include:</w:t>
      </w:r>
    </w:p>
    <w:p w14:paraId="0DF1351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 xml:space="preserve">Decision Trees and Random Forests: Decision trees are simple, interpretable models that split data into branches based on feature values, ultimately leading to a prediction. Random forests, an ensemble method, combine multiple decision trees to improve predictive accuracy and reduce </w:t>
      </w:r>
      <w:r>
        <w:rPr>
          <w:rFonts w:ascii="Times New Roman" w:hAnsi="Times New Roman" w:cs="Times New Roman"/>
          <w:sz w:val="24"/>
          <w:szCs w:val="24"/>
          <w:lang w:val="en-US"/>
        </w:rPr>
        <w:t>over-fitting</w:t>
      </w:r>
      <w:r>
        <w:rPr>
          <w:rFonts w:ascii="Times New Roman" w:hAnsi="Times New Roman" w:cs="Times New Roman"/>
          <w:sz w:val="24"/>
          <w:szCs w:val="24"/>
        </w:rPr>
        <w:t>. These models are effective for churn prediction due to their ability to handle both categorical and numerical data and capture non-linear relationships (Breiman, 2001).</w:t>
      </w:r>
    </w:p>
    <w:p w14:paraId="798EACA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Gradient Boosting Machines (GBM): GBM is another ensemble technique that builds a series of decision trees sequentially, with each tree correcting the errors of the previous ones. This method often achieves high predictive performance and is robust to overfitting. Popular implementations of GBM include XGBoost and LightGBM, which are widely used in churn prediction tasks (Chen and Guestrin, 2016).</w:t>
      </w:r>
    </w:p>
    <w:p w14:paraId="7182D2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Support Vector Machines (SVM): SVM is a powerful classification algorithm that finds the optimal hyperplane separating different classes in the feature space. SVMs are effective in high-dimensional spaces and can handle non-linear decision boundaries using kernel functions. This makes them suitable for churn prediction, where customer behavior patterns can be complex and multi-dimensional (Cortes and Vapnik, 1995).</w:t>
      </w:r>
    </w:p>
    <w:p w14:paraId="42D30D5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Neural Networks and Deep Learning: Neural networks, particularly deep learning models, have shown great promise in churn prediction due to their ability to automatically learn hierarchical feature representations from raw data. Deep learning models, such as convolutional neural networks (CNNs) and recurrent neural networks (RNNs), can capture temporal and spatial patterns in customer data, leading to more accurate churn predictions. However, these models require large amounts of data and computational resources for training (LeCun, Bengio, and Hinton, 2015).</w:t>
      </w:r>
    </w:p>
    <w:p w14:paraId="35B4628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sz w:val="24"/>
          <w:szCs w:val="24"/>
        </w:rPr>
        <w:t>Clustering and Anomaly Detection: Unsupervised learning techniques, such as clustering and anomaly detection, can also be useful in churn prediction. Clustering algorithms, like K-means, can segment customers into groups with similar behavior patterns, helping identify high-risk segments. Anomaly detection methods can identify unusual customer behavior that may indicate an increased risk of churn. These techniques provide valuable insights that can complement supervised learning models (Aggarwal, 2015).</w:t>
      </w:r>
    </w:p>
    <w:p w14:paraId="6435BD25">
      <w:pPr>
        <w:pStyle w:val="3"/>
        <w:spacing w:line="360" w:lineRule="auto"/>
      </w:pPr>
      <w:bookmarkStart w:id="18" w:name="_Toc183163331"/>
      <w:r>
        <w:t>2.6</w:t>
      </w:r>
      <w:r>
        <w:rPr>
          <w:rFonts w:hint="default"/>
          <w:lang w:val="en-US"/>
        </w:rPr>
        <w:tab/>
      </w:r>
      <w:r>
        <w:t>Types of Machine Learning Models</w:t>
      </w:r>
      <w:bookmarkEnd w:id="18"/>
    </w:p>
    <w:p w14:paraId="7CA6334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(ML) encompasses a variety of techniques and algorithms that enable computers to learn from data and make decisions. These techniques can be broadly categorized into three main types: supervised learning, unsupervised learning, and reinforcement learning. Each type of machine learning model has distinct characteristics and is suited to different types of tasks and data structures.</w:t>
      </w:r>
    </w:p>
    <w:p w14:paraId="0F0AB1F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Supervised Learning</w:t>
      </w:r>
    </w:p>
    <w:p w14:paraId="2859416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Supervised learning involves training a model on a labeled dataset, where each training example is paired with an output label. The goal is for the model to learn a mapping from inputs to outputs and make accurate predictions on new, unseen data.</w:t>
      </w:r>
    </w:p>
    <w:p w14:paraId="032E872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Linear Regression: Used for predicting a continuous output, linear regression models the relationship between the dependent variable and one or more independent variables by fitting a linear equation to observed data. For example, predicting customer lifetime value based on historical spending data.</w:t>
      </w:r>
    </w:p>
    <w:p w14:paraId="2B0487C4">
      <w:pPr>
        <w:spacing w:after="0" w:line="360" w:lineRule="auto"/>
        <w:jc w:val="both"/>
        <w:rPr>
          <w:rFonts w:ascii="Times New Roman" w:hAnsi="Times New Roman" w:cs="Times New Roman"/>
          <w:sz w:val="24"/>
          <w:szCs w:val="24"/>
        </w:rPr>
      </w:pPr>
    </w:p>
    <w:p w14:paraId="67D92971">
      <w:pPr>
        <w:spacing w:after="0" w:line="360" w:lineRule="auto"/>
        <w:jc w:val="both"/>
        <w:rPr>
          <w:rFonts w:ascii="Times New Roman" w:hAnsi="Times New Roman" w:cs="Times New Roman"/>
          <w:sz w:val="24"/>
          <w:szCs w:val="24"/>
        </w:rPr>
      </w:pPr>
    </w:p>
    <w:p w14:paraId="1117D096">
      <w:pPr>
        <w:spacing w:after="0" w:line="360" w:lineRule="auto"/>
        <w:jc w:val="center"/>
        <w:rPr>
          <w:rFonts w:ascii="Times New Roman" w:hAnsi="Times New Roman" w:cs="Times New Roman"/>
          <w:sz w:val="24"/>
          <w:szCs w:val="24"/>
        </w:rPr>
      </w:pPr>
      <w:r>
        <w:rPr>
          <w:rFonts w:ascii="Times New Roman" w:hAnsi="Times New Roman" w:cs="Times New Roman"/>
          <w:sz w:val="24"/>
          <w:szCs w:val="24"/>
          <w14:ligatures w14:val="standardContextual"/>
        </w:rPr>
        <w:drawing>
          <wp:inline distT="0" distB="0" distL="0" distR="0">
            <wp:extent cx="5731510" cy="3969385"/>
            <wp:effectExtent l="0" t="0" r="2540" b="0"/>
            <wp:docPr id="128904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45316"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3969385"/>
                    </a:xfrm>
                    <a:prstGeom prst="rect">
                      <a:avLst/>
                    </a:prstGeom>
                  </pic:spPr>
                </pic:pic>
              </a:graphicData>
            </a:graphic>
          </wp:inline>
        </w:drawing>
      </w:r>
    </w:p>
    <w:p w14:paraId="59A9B99F">
      <w:pPr>
        <w:pStyle w:val="5"/>
        <w:bidi w:val="0"/>
        <w:spacing w:line="360" w:lineRule="auto"/>
        <w:jc w:val="center"/>
      </w:pPr>
      <w:bookmarkStart w:id="19" w:name="_Hlk184217147"/>
      <w:r>
        <w:t>Fig</w:t>
      </w:r>
      <w:r>
        <w:rPr>
          <w:rFonts w:hint="default"/>
          <w:lang w:val="en-US"/>
        </w:rPr>
        <w:t xml:space="preserve">ure 2.6 </w:t>
      </w:r>
      <w:r>
        <w:t>Linear Regression Model</w:t>
      </w:r>
    </w:p>
    <w:bookmarkEnd w:id="19"/>
    <w:p w14:paraId="5F42EC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Logistic Regression: Used for binary classification problems, logistic regression models the probability of a binary outcome based on one or more predictor variables. It is commonly used in churn prediction to estimate the likelihood that a customer will leave the service.</w:t>
      </w:r>
    </w:p>
    <w:p w14:paraId="256ECE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Decision Trees: These models split the data into subsets based on the value of input features, creating a tree-like structure. Each node represents a feature, each branch represents a decision rule, and each leaf represents an outcome. Decision trees are intuitive and easy to interpret.</w:t>
      </w:r>
    </w:p>
    <w:p w14:paraId="270585A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 xml:space="preserve">Random Forests: An ensemble method that combines multiple decision trees to improve predictive accuracy and control </w:t>
      </w:r>
      <w:r>
        <w:rPr>
          <w:rFonts w:ascii="Times New Roman" w:hAnsi="Times New Roman" w:cs="Times New Roman"/>
          <w:sz w:val="24"/>
          <w:szCs w:val="24"/>
          <w:lang w:val="en-US"/>
        </w:rPr>
        <w:t>over-fitting</w:t>
      </w:r>
      <w:r>
        <w:rPr>
          <w:rFonts w:ascii="Times New Roman" w:hAnsi="Times New Roman" w:cs="Times New Roman"/>
          <w:sz w:val="24"/>
          <w:szCs w:val="24"/>
        </w:rPr>
        <w:t>. By aggregating the predictions of many trees, random forests produce more robust and reliable predictions.</w:t>
      </w:r>
    </w:p>
    <w:p w14:paraId="19E662C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sz w:val="24"/>
          <w:szCs w:val="24"/>
        </w:rPr>
        <w:t>Support Vector Machines (SVMs): SVMs find the optimal hyperplane that separates data points of different classes in a high-dimensional space. They are effective in high-dimensional spaces and can handle non-linear decision boundaries using kernel functions.</w:t>
      </w:r>
    </w:p>
    <w:p w14:paraId="3667CB0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r>
        <w:rPr>
          <w:rFonts w:ascii="Times New Roman" w:hAnsi="Times New Roman" w:cs="Times New Roman"/>
          <w:sz w:val="24"/>
          <w:szCs w:val="24"/>
        </w:rPr>
        <w:t>Neural Networks: Comprising layers of interconnected nodes, neural networks are particularly powerful for capturing complex relationships in data. They are the foundation of deep learning models, which have achieved state-of-the-art performance in tasks such as image and speech recognition.</w:t>
      </w:r>
    </w:p>
    <w:p w14:paraId="46E48C8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Unsupervised Learning</w:t>
      </w:r>
    </w:p>
    <w:p w14:paraId="48EF1D3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Unsupervised learning deals with unlabeled data, aiming to uncover hidden patterns or structures without explicit output labels. This type of learning is particularly useful for exploratory data analysis and dimensionality reduction.</w:t>
      </w:r>
    </w:p>
    <w:p w14:paraId="18406D1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Clustering: Algorithms like K-means, hierarchical clustering, and DBSCAN group data points into clusters based on similarity. Clustering can reveal natural groupings in the data, such as customer segments with similar behavior patterns.</w:t>
      </w:r>
    </w:p>
    <w:p w14:paraId="7AA7033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Dimensionality Reduction: Techniques like Principal Component Analysis (PCA) and t-Distributed Stochastic Neighbor Embedding (t-SNE) reduce the number of features in a dataset while preserving its essential structure. This is useful for visualizing high-dimensional data and mitigating the curse of dimensionality.</w:t>
      </w:r>
    </w:p>
    <w:p w14:paraId="743273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Association Rule Learning: Methods like the Apriori algorithm and Eclat identify interesting relationships between variables in large datasets. These rules can be used for market basket analysis to discover items frequently bought together.</w:t>
      </w:r>
    </w:p>
    <w:p w14:paraId="4E7A43D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Anomaly Detection: Unsupervised methods can identify unusual data points that do not fit the general pattern of the dataset. Techniques such as isolation forests and autoencoders are used for fraud detection and identifying rare events.</w:t>
      </w:r>
    </w:p>
    <w:p w14:paraId="438A7B7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Reinforcement Learning</w:t>
      </w:r>
    </w:p>
    <w:p w14:paraId="32B003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Reinforcement learning (RL) is a type of machine learning where an agent learns to make decisions by interacting with an environment. The agent receives feedback in the form of rewards or penalties and aims to maximize the cumulative reward over time. This approach is inspired by behavioral psychology and is well-suited for sequential decision-making problems.</w:t>
      </w:r>
    </w:p>
    <w:p w14:paraId="258C2C4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Markov Decision Processes (MDPs): MDPs provide a mathematical framework for modeling decision-making in environments where outcomes are partly random and partly under the control of the decision-maker. They define states, actions, transition probabilities, and rewards.</w:t>
      </w:r>
    </w:p>
    <w:p w14:paraId="0D8B3F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Q-Learning: A popular RL algorithm that aims to learn the value of action-state pairs, representing the expected future rewards of taking a particular action in a given state. Q-learning is used in applications like game playing and robotics.</w:t>
      </w:r>
    </w:p>
    <w:p w14:paraId="3206D24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Deep Q-Networks (DQNs): An extension of Q-learning that uses deep neural networks to approximate the Q-values for high-dimensional state spaces. DQNs have been successfully applied in complex environments, such as playing Atari games.</w:t>
      </w:r>
    </w:p>
    <w:p w14:paraId="4ABD6E3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Policy Gradient Methods: These methods optimize the policy directly by adjusting the parameters of a policy function. Algorithms like REINFORCE and Proximal Policy Optimization (PPO) are used in tasks requiring continuous action spaces, such as robotic control and real-time strategy games.</w:t>
      </w:r>
    </w:p>
    <w:p w14:paraId="603B1DCF">
      <w:pPr>
        <w:pStyle w:val="3"/>
        <w:spacing w:line="360" w:lineRule="auto"/>
      </w:pPr>
      <w:bookmarkStart w:id="20" w:name="_Toc183163332"/>
      <w:r>
        <w:t>2.7</w:t>
      </w:r>
      <w:r>
        <w:rPr>
          <w:rFonts w:hint="default"/>
          <w:lang w:val="en-US"/>
        </w:rPr>
        <w:tab/>
      </w:r>
      <w:r>
        <w:rPr>
          <w:rFonts w:hint="default"/>
          <w:lang w:val="en-US"/>
        </w:rPr>
        <w:t xml:space="preserve">Concept of </w:t>
      </w:r>
      <w:r>
        <w:t xml:space="preserve">Feature Selection and </w:t>
      </w:r>
      <w:r>
        <w:rPr>
          <w:rFonts w:hint="default"/>
          <w:lang w:val="en-US"/>
        </w:rPr>
        <w:t xml:space="preserve">Feature </w:t>
      </w:r>
      <w:r>
        <w:t>Engineering</w:t>
      </w:r>
      <w:bookmarkEnd w:id="20"/>
    </w:p>
    <w:p w14:paraId="56F36D8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Feature selection and engineering are critical steps in the machine learning pipeline. They involve identifying and creating the most relevant and informative features (variables) from raw data to improve model performance, interpretability, and generalization. Effective feature selection and engineering can significantly impact the success of machine learning models, particularly in complex tasks like customer churn prediction in the telecommunications industry.</w:t>
      </w:r>
    </w:p>
    <w:p w14:paraId="53BCEFDD">
      <w:pPr>
        <w:pStyle w:val="3"/>
        <w:spacing w:line="360" w:lineRule="auto"/>
      </w:pPr>
      <w:bookmarkStart w:id="21" w:name="_Toc183163333"/>
      <w:r>
        <w:t>2.7.1</w:t>
      </w:r>
      <w:r>
        <w:rPr>
          <w:rFonts w:hint="default"/>
          <w:lang w:val="en-US"/>
        </w:rPr>
        <w:tab/>
      </w:r>
      <w:r>
        <w:t>Methods of Feature Selection</w:t>
      </w:r>
      <w:bookmarkEnd w:id="21"/>
    </w:p>
    <w:p w14:paraId="124AD0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Filter Methods: Filter methods evaluate the relevance of each feature independently of the model. Common techniques include statistical tests (e.g., chi-square, ANOVA), correlation coefficients, and mutual information. These methods are computationally efficient and provide a good first step in the feature selection process.</w:t>
      </w:r>
    </w:p>
    <w:p w14:paraId="5B36F2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Wrapper Methods: Wrapper methods evaluate the performance of a subset of features by training a model and measuring its accuracy. Techniques like forward selection, backward elimination, and recursive feature elimination (RFE) are commonly used. Although more computationally intensive than filter methods, wrapper methods often yield better performance by considering feature interactions.</w:t>
      </w:r>
    </w:p>
    <w:p w14:paraId="6605AE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Embedded Methods: Embedded methods perform feature selection during the model training process. Techniques such as Lasso (Least Absolute Shrinkage and Selection Operator) and Ridge regression add regularization terms to the loss function, penalizing the inclusion of less important features. Tree-based methods like random forests and gradient boosting also provide feature importance scores as part of the model training process.</w:t>
      </w:r>
    </w:p>
    <w:p w14:paraId="030FB270">
      <w:pPr>
        <w:pStyle w:val="3"/>
        <w:spacing w:line="360" w:lineRule="auto"/>
      </w:pPr>
      <w:bookmarkStart w:id="22" w:name="_Toc183163334"/>
      <w:r>
        <w:t>2.7.</w:t>
      </w:r>
      <w:r>
        <w:rPr>
          <w:rFonts w:hint="default"/>
          <w:lang w:val="en-US"/>
        </w:rPr>
        <w:t>2</w:t>
      </w:r>
      <w:r>
        <w:rPr>
          <w:rFonts w:hint="default"/>
          <w:lang w:val="en-US"/>
        </w:rPr>
        <w:tab/>
      </w:r>
      <w:r>
        <w:t>Feature Engineering Techniques in Customer Churn Prediction</w:t>
      </w:r>
      <w:bookmarkEnd w:id="22"/>
    </w:p>
    <w:p w14:paraId="0C3D1C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customer churn prediction, feature engineering can significantly enhance model performance by creating features that capture the nuanced behavior of customers. Some common techniques include:</w:t>
      </w:r>
    </w:p>
    <w:p w14:paraId="1F7B1B9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Customer Engagement Metrics: Creating features that quantify customer engagement, such as the number of calls made, data usage, and frequency of customer service interactions, can provide insights into customer satisfaction and likelihood of churn.</w:t>
      </w:r>
    </w:p>
    <w:p w14:paraId="50DF40F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Behavioral Patterns: Analyzing patterns in service usage over time, such as changes in data consumption or call duration, can help identify early signs of churn. For example, a sudden drop in usage might indicate dissatisfaction.</w:t>
      </w:r>
    </w:p>
    <w:p w14:paraId="1FCB7C9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Derived Features: Creating new features from existing ones, such as the ratio of different service usages (e.g., call-to-data usage ratio), can reveal more about customer preferences and potential churn risk.</w:t>
      </w:r>
    </w:p>
    <w:p w14:paraId="5C77619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Temporal Features: Incorporating temporal aspects, such as the time since the last customer interaction or the duration of the current contract, can help capture trends and seasonality in churn behavior.</w:t>
      </w:r>
    </w:p>
    <w:p w14:paraId="6AE84C5A">
      <w:pPr>
        <w:pStyle w:val="3"/>
        <w:spacing w:line="360" w:lineRule="auto"/>
      </w:pPr>
      <w:bookmarkStart w:id="23" w:name="_Toc183163335"/>
      <w:r>
        <w:t>2.8</w:t>
      </w:r>
      <w:r>
        <w:rPr>
          <w:rFonts w:hint="default"/>
          <w:lang w:val="en-US"/>
        </w:rPr>
        <w:tab/>
      </w:r>
      <w:r>
        <w:t>Common Features Used in Churn Prediction</w:t>
      </w:r>
      <w:bookmarkEnd w:id="23"/>
    </w:p>
    <w:p w14:paraId="6CC5F8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churn prediction involves identifying customers who are likely to leave a service provider. Accurate prediction relies heavily on selecting the right features that reflect customer behavior, preferences, and satisfaction levels. Common features used in churn prediction include usage patterns, customer demographics, and billing information, among others. These features help build models that can effectively identify at-risk customers and enable targeted retention strategies.</w:t>
      </w:r>
    </w:p>
    <w:p w14:paraId="01E4D8D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Usage Patterns</w:t>
      </w:r>
    </w:p>
    <w:p w14:paraId="436034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Call and Data Usage: One of the most significant predictors of churn is how customers use their telecommunication services. Metrics like the number of calls made, call duration, data usage volume, and frequency of service usage can provide insights into customer engagement and satisfaction. For instance, a sudden drop in call duration or data usage might indicate dissatisfaction or a shift to a competitor's service.</w:t>
      </w:r>
    </w:p>
    <w:p w14:paraId="5CBEB4C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Service Interactions: The frequency and nature of interactions with customer service can be indicative of churn risk. High volumes of complaint calls or frequent requests for support can signal dissatisfaction. Conversely, proactive service interactions, such as seeking information about new services, might indicate customer engagement.</w:t>
      </w:r>
    </w:p>
    <w:p w14:paraId="1B2964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Usage Trends: Analyzing trends over time can help detect changes in behavior that precede churn. For example, if a customer's usage gradually declines over several months, it might indicate that they are considering switching providers. Seasonal variations and patterns in usage can also be important; for example, higher usage during certain times of the year might be typical for some customers, and deviations from this pattern could be significant.</w:t>
      </w:r>
    </w:p>
    <w:p w14:paraId="1E0042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Feature Adoption: The adoption of new features or services can indicate customer satisfaction and engagement. Customers who frequently try out new services or upgrade their plans are generally more engaged and less likely to churn. Conversely, those who do not adopt new features might be at a higher risk of leaving.</w:t>
      </w:r>
    </w:p>
    <w:p w14:paraId="0AFCAE1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Customer Demographics</w:t>
      </w:r>
    </w:p>
    <w:p w14:paraId="1AAE5B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Age and Gender: Demographic factors such as age and gender can influence churn behavior. Different age groups and genders may have varying preferences and levels of satisfaction with services. For example, younger customers might prioritize data services for social media and streaming, while older customers might value call quality more.</w:t>
      </w:r>
    </w:p>
    <w:p w14:paraId="2E01C6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Location: Geographic information can provide insights into service availability and competition. Customers in urban areas might have more alternatives and be more likely to churn if they experience poor service quality. Rural customers might have fewer options and different usage patterns, affecting their churn behavior.</w:t>
      </w:r>
    </w:p>
    <w:p w14:paraId="151919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Income and Occupation: Socioeconomic status can affect customers' ability to pay for services and their sensitivity to price changes. Higher-income customers might be less price-sensitive and more focused on service quality, while lower-income customers might be more likely to churn due to financial constraints.</w:t>
      </w:r>
    </w:p>
    <w:p w14:paraId="7F0099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Education Level: Education can impact customers' awareness of available services and their propensity to seek better deals. More educated customers might be more proactive in exploring alternatives and switching providers if they find better offers.</w:t>
      </w:r>
    </w:p>
    <w:p w14:paraId="5515775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Billing Information</w:t>
      </w:r>
    </w:p>
    <w:p w14:paraId="339117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Payment History: Timely payments and the presence of overdue bills can indicate financial stability and customer satisfaction. Customers who frequently miss payments or have a history of overdue bills might be at a higher risk of churning due to financial difficulties or dissatisfaction with the service.</w:t>
      </w:r>
    </w:p>
    <w:p w14:paraId="602E5F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Billing Cycle and Amount: The frequency and amount of bills can affect churn risk. Customers with high monthly bills might be more inclined to switch providers if they perceive they are not getting value for their money. Additionally, those on longer billing cycles might be less engaged and more likely to churn.</w:t>
      </w:r>
    </w:p>
    <w:p w14:paraId="6E250F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Payment Method: The method of payment (e.g., credit card, direct debit, prepaid) can provide insights into customer preferences and financial behavior. Prepaid customers might churn more frequently due to the flexibility to switch providers without penalty, while postpaid customers with long-term contracts might have lower churn rates.</w:t>
      </w:r>
    </w:p>
    <w:p w14:paraId="1ED464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Discounts and Promotions: The use of discounts and promotional offers can affect customer retention. Customers who frequently take advantage of promotions might be more price-sensitive and prone to churn if these offers are discontinued.</w:t>
      </w:r>
    </w:p>
    <w:p w14:paraId="55246A3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Other Relevant Features</w:t>
      </w:r>
    </w:p>
    <w:p w14:paraId="710CC7D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Contract Type and Duration: The type and length of the contract can significantly influence churn behavior. Customers on long-term contracts with penalties for early termination might be less likely to churn compared to those on month-to-month plans. The approach of contract renewal dates can also be a critical period for churn risk.</w:t>
      </w:r>
    </w:p>
    <w:p w14:paraId="125BF5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Customer Satisfaction Scores: Surveys and feedback mechanisms that measure customer satisfaction can provide direct insights into churn risk. Low satisfaction scores are often correlated with higher churn rates. Net Promoter Score (NPS) and Customer Satisfaction Score (CSAT) are commonly used metrics.</w:t>
      </w:r>
    </w:p>
    <w:p w14:paraId="6CEBBA1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Service Quality Metrics: Network performance indicators, such as call drop rates, data speed, and network coverage, are crucial for understanding customer satisfaction. Poor service quality can drive customers to switch providers. Monitoring these metrics can help identify at-risk customers.</w:t>
      </w:r>
    </w:p>
    <w:p w14:paraId="2A4F0D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Engagement with Marketing Campaigns: Interaction with marketing efforts, such as opening emails, clicking on ads, or participating in loyalty programs, can indicate customer engagement. Higher engagement levels generally correlate with lower churn rates, as these customers feel more connected to the brand.</w:t>
      </w:r>
    </w:p>
    <w:p w14:paraId="35D603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sz w:val="24"/>
          <w:szCs w:val="24"/>
        </w:rPr>
        <w:t>Churn History: Historical churn behavior can be predictive of future churn. Customers who have previously churned and returned may exhibit patterns that indicate higher churn risk. Understanding these patterns can help tailor retention strategies.</w:t>
      </w:r>
    </w:p>
    <w:p w14:paraId="6E4F68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r>
        <w:rPr>
          <w:rFonts w:ascii="Times New Roman" w:hAnsi="Times New Roman" w:cs="Times New Roman"/>
          <w:sz w:val="24"/>
          <w:szCs w:val="24"/>
        </w:rPr>
        <w:t>Competitor Activity: Market conditions and competitor actions, such as new service launches or aggressive pricing strategies, can influence churn. Customers might switch providers in response to better offers or innovative services from competitors.</w:t>
      </w:r>
    </w:p>
    <w:p w14:paraId="776833B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Pr>
          <w:rFonts w:ascii="Times New Roman" w:hAnsi="Times New Roman" w:cs="Times New Roman"/>
          <w:sz w:val="24"/>
          <w:szCs w:val="24"/>
        </w:rPr>
        <w:t>Customer Tenure: The length of time a customer has been with the service provider can impact churn behavior. Long-term customers might have higher loyalty and lower churn rates, while new customers might be more prone to switch providers if their initial experience is unsatisfactory.</w:t>
      </w:r>
    </w:p>
    <w:p w14:paraId="7395B9A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Integrating Features for Churn Prediction Models</w:t>
      </w:r>
    </w:p>
    <w:p w14:paraId="51FFBCA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Feature Engineering: Combining and transforming raw data into meaningful features is crucial for building effective churn prediction models. Techniques such as creating interaction terms, aggregating data over different time periods, and scaling features to a common range can enhance model performance.</w:t>
      </w:r>
    </w:p>
    <w:p w14:paraId="5AF4C7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Feature Selection: Selecting the most relevant features helps in building models that are both accurate and interpretable. Techniques like correlation analysis, mutual information, and recursive feature elimination (RFE) can identify the features that contribute most to predicting churn.</w:t>
      </w:r>
    </w:p>
    <w:p w14:paraId="7B90B7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Modeling Approaches: Various machine learning algorithms can be used to predict churn, including decision trees, random forests, logistic regression, and neural networks. The choice of algorithm depends on the complexity of the data, the importance of interpretability, and the computational resources available.</w:t>
      </w:r>
    </w:p>
    <w:p w14:paraId="79DC108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Model Evaluation Metrics</w:t>
      </w:r>
    </w:p>
    <w:p w14:paraId="0A73B8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Evaluating the performance of machine learning models is crucial to ensure their effectiveness, especially in sensitive applications like churn prediction in the telecommunications industry. Various metrics and techniques are used to assess how well a model predicts churn, including accuracy, precision, recall, F1-score, ROC-AUC, and cross-validation methods.</w:t>
      </w:r>
    </w:p>
    <w:p w14:paraId="0C1EB964">
      <w:pPr>
        <w:pStyle w:val="3"/>
        <w:bidi w:val="0"/>
        <w:spacing w:line="360" w:lineRule="auto"/>
        <w:rPr>
          <w:rFonts w:hint="default"/>
          <w:lang w:val="en-US"/>
        </w:rPr>
      </w:pPr>
      <w:r>
        <w:rPr>
          <w:rFonts w:hint="default"/>
          <w:lang w:val="en-US"/>
        </w:rPr>
        <w:t>2.9</w:t>
      </w:r>
      <w:r>
        <w:rPr>
          <w:rFonts w:hint="default"/>
          <w:lang w:val="en-US"/>
        </w:rPr>
        <w:tab/>
      </w:r>
      <w:r>
        <w:rPr>
          <w:rFonts w:hint="default"/>
          <w:lang w:val="en-US"/>
        </w:rPr>
        <w:t>Analysis of Model Evaluation Metrics and Techniques</w:t>
      </w:r>
    </w:p>
    <w:p w14:paraId="11BAF96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Accuracy, Precision, Recall, and F1-Score</w:t>
      </w:r>
    </w:p>
    <w:p w14:paraId="4CFF0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Accuracy</w:t>
      </w:r>
    </w:p>
    <w:p w14:paraId="6DD408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Accuracy is the simplest metric and represents the ratio of correctly predicted instances to the total instances. It is calculated as follows:</w:t>
      </w:r>
    </w:p>
    <w:p w14:paraId="76F671CF">
      <w:pPr>
        <w:pStyle w:val="37"/>
        <w:spacing w:after="0" w:line="360" w:lineRule="auto"/>
        <w:ind w:left="0" w:leftChars="0" w:firstLine="0" w:firstLineChars="0"/>
        <w:jc w:val="both"/>
        <w:rPr>
          <w:rFonts w:hint="default" w:ascii="Times New Roman" w:hAnsi="Times New Roman" w:cs="Times New Roman"/>
          <w:sz w:val="24"/>
          <w:szCs w:val="24"/>
          <w:lang w:val="en-US"/>
        </w:rPr>
      </w:pPr>
      <m:oMathPara>
        <m:oMathParaPr>
          <m:jc m:val="center"/>
        </m:oMathParaPr>
        <m:oMath>
          <m:r>
            <m:rPr>
              <m:sty m:val="p"/>
            </m:rPr>
            <w:rPr>
              <w:rFonts w:hint="default" w:ascii="Cambria Math" w:hAnsi="Cambria Math" w:cs="Times New Roman"/>
              <w:sz w:val="24"/>
              <w:szCs w:val="24"/>
              <w:lang w:val="en-US"/>
            </w:rPr>
            <m:t>Accuracy=</m:t>
          </m:r>
          <m:f>
            <m:fPr>
              <m:ctrlPr>
                <w:rPr>
                  <w:rFonts w:ascii="Cambria Math" w:hAnsi="Cambria Math" w:cs="Times New Roman"/>
                  <w:i/>
                  <w:sz w:val="24"/>
                  <w:szCs w:val="24"/>
                </w:rPr>
              </m:ctrlPr>
            </m:fPr>
            <m:num>
              <m:r>
                <m:rPr/>
                <w:rPr>
                  <w:rFonts w:ascii="Cambria Math" w:hAnsi="Cambria Math" w:cs="Times New Roman"/>
                  <w:sz w:val="24"/>
                  <w:szCs w:val="24"/>
                </w:rPr>
                <m:t>True Positive</m:t>
              </m:r>
              <m:r>
                <m:rPr/>
                <w:rPr>
                  <w:rFonts w:hint="default" w:ascii="Cambria Math" w:hAnsi="Cambria Math" w:cs="Times New Roman"/>
                  <w:sz w:val="24"/>
                  <w:szCs w:val="24"/>
                  <w:lang w:val="en-US"/>
                </w:rPr>
                <m:t>s</m:t>
              </m:r>
              <m:r>
                <m:rPr/>
                <w:rPr>
                  <w:rFonts w:ascii="Cambria Math" w:hAnsi="Cambria Math" w:cs="Times New Roman"/>
                  <w:sz w:val="24"/>
                  <w:szCs w:val="24"/>
                </w:rPr>
                <m:t xml:space="preserve"> </m:t>
              </m:r>
              <m:d>
                <m:dPr>
                  <m:ctrlPr>
                    <w:rPr>
                      <w:rFonts w:ascii="Cambria Math" w:hAnsi="Cambria Math" w:cs="Times New Roman"/>
                      <w:i/>
                      <w:sz w:val="24"/>
                      <w:szCs w:val="24"/>
                    </w:rPr>
                  </m:ctrlPr>
                </m:dPr>
                <m:e>
                  <m:r>
                    <m:rPr/>
                    <w:rPr>
                      <w:rFonts w:ascii="Cambria Math" w:hAnsi="Cambria Math" w:cs="Times New Roman"/>
                      <w:sz w:val="24"/>
                      <w:szCs w:val="24"/>
                    </w:rPr>
                    <m:t>TP</m:t>
                  </m:r>
                  <m:ctrlPr>
                    <w:rPr>
                      <w:rFonts w:ascii="Cambria Math" w:hAnsi="Cambria Math" w:cs="Times New Roman"/>
                      <w:i/>
                      <w:sz w:val="24"/>
                      <w:szCs w:val="24"/>
                    </w:rPr>
                  </m:ctrlPr>
                </m:e>
              </m:d>
              <m:r>
                <m:rPr/>
                <w:rPr>
                  <w:rFonts w:ascii="Cambria Math" w:hAnsi="Cambria Math" w:cs="Times New Roman"/>
                  <w:sz w:val="24"/>
                  <w:szCs w:val="24"/>
                </w:rPr>
                <m:t>+True Negatives (TN)</m:t>
              </m:r>
              <m:ctrlPr>
                <w:rPr>
                  <w:rFonts w:ascii="Cambria Math" w:hAnsi="Cambria Math" w:cs="Times New Roman"/>
                  <w:i/>
                  <w:sz w:val="24"/>
                  <w:szCs w:val="24"/>
                </w:rPr>
              </m:ctrlPr>
            </m:num>
            <m:den>
              <m:r>
                <m:rPr/>
                <w:rPr>
                  <w:rFonts w:ascii="Cambria Math" w:hAnsi="Cambria Math" w:cs="Times New Roman"/>
                  <w:sz w:val="24"/>
                  <w:szCs w:val="24"/>
                </w:rPr>
                <m:t>Total Instances</m:t>
              </m:r>
              <m:ctrlPr>
                <w:rPr>
                  <w:rFonts w:ascii="Cambria Math" w:hAnsi="Cambria Math" w:cs="Times New Roman"/>
                  <w:i/>
                  <w:sz w:val="24"/>
                  <w:szCs w:val="24"/>
                </w:rPr>
              </m:ctrlPr>
            </m:den>
          </m:f>
        </m:oMath>
      </m:oMathPara>
    </w:p>
    <w:p w14:paraId="3B7F576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While accuracy provides a general idea of the model's performance, it can be misleading in cases of class imbalance, which is common in churn prediction where the number of non-churning customers often exceeds the number of churners.</w:t>
      </w:r>
    </w:p>
    <w:p w14:paraId="1F49CEEF">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val="0"/>
          <w:bCs w:val="0"/>
          <w:sz w:val="24"/>
          <w:szCs w:val="24"/>
        </w:rPr>
        <w:t>Precision</w:t>
      </w:r>
    </w:p>
    <w:p w14:paraId="79C394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Precision measures the ratio of correctly predicted positive instances to the total predicted positive instances. It is particularly useful when the cost of false positives is high. For churn prediction, it indicates the proportion of predicted churners who actually churned.</w:t>
      </w:r>
    </w:p>
    <w:p w14:paraId="1CE294CF">
      <w:pPr>
        <w:spacing w:after="0" w:line="360" w:lineRule="auto"/>
        <w:jc w:val="both"/>
        <w:rPr>
          <w:rFonts w:hint="default" w:ascii="Times New Roman" w:hAnsi="Times New Roman" w:cs="Times New Roman"/>
          <w:sz w:val="24"/>
          <w:szCs w:val="24"/>
          <w:lang w:val="en-US"/>
        </w:rPr>
      </w:pPr>
      <m:oMathPara>
        <m:oMathParaPr>
          <m:jc m:val="center"/>
        </m:oMathParaPr>
        <m:oMath>
          <m:r>
            <m:rPr>
              <m:sty m:val="p"/>
            </m:rPr>
            <w:rPr>
              <w:rFonts w:hint="default" w:ascii="Cambria Math" w:hAnsi="Cambria Math" w:cs="Times New Roman"/>
              <w:sz w:val="24"/>
              <w:szCs w:val="24"/>
              <w:lang w:val="en-US"/>
            </w:rPr>
            <m:t>Precision=</m:t>
          </m:r>
          <m:f>
            <m:fPr>
              <m:ctrlPr>
                <w:rPr>
                  <w:rFonts w:ascii="Cambria Math" w:hAnsi="Cambria Math" w:cs="Times New Roman"/>
                  <w:i/>
                  <w:sz w:val="24"/>
                  <w:szCs w:val="24"/>
                </w:rPr>
              </m:ctrlPr>
            </m:fPr>
            <m:num>
              <m:r>
                <m:rPr/>
                <w:rPr>
                  <w:rFonts w:ascii="Cambria Math" w:hAnsi="Cambria Math" w:cs="Times New Roman"/>
                  <w:sz w:val="24"/>
                  <w:szCs w:val="24"/>
                </w:rPr>
                <m:t>T</m:t>
              </m:r>
              <m:r>
                <m:rPr/>
                <w:rPr>
                  <w:rFonts w:hint="default" w:ascii="Cambria Math" w:hAnsi="Cambria Math" w:cs="Times New Roman"/>
                  <w:sz w:val="24"/>
                  <w:szCs w:val="24"/>
                  <w:lang w:val="en-US"/>
                </w:rPr>
                <m:t xml:space="preserve">rue </m:t>
              </m:r>
              <m:r>
                <m:rPr/>
                <w:rPr>
                  <w:rFonts w:ascii="Cambria Math" w:hAnsi="Cambria Math" w:cs="Times New Roman"/>
                  <w:sz w:val="24"/>
                  <w:szCs w:val="24"/>
                </w:rPr>
                <m:t>P</m:t>
              </m:r>
              <m:r>
                <m:rPr/>
                <w:rPr>
                  <w:rFonts w:hint="default" w:ascii="Cambria Math" w:hAnsi="Cambria Math" w:cs="Times New Roman"/>
                  <w:sz w:val="24"/>
                  <w:szCs w:val="24"/>
                  <w:lang w:val="en-US"/>
                </w:rPr>
                <m:t>ositives (TP)</m:t>
              </m:r>
              <m:ctrlPr>
                <w:rPr>
                  <w:rFonts w:ascii="Cambria Math" w:hAnsi="Cambria Math" w:cs="Times New Roman"/>
                  <w:i/>
                  <w:sz w:val="24"/>
                  <w:szCs w:val="24"/>
                </w:rPr>
              </m:ctrlPr>
            </m:num>
            <m:den>
              <m:r>
                <m:rPr/>
                <w:rPr>
                  <w:rFonts w:ascii="Cambria Math" w:hAnsi="Cambria Math" w:cs="Times New Roman"/>
                  <w:sz w:val="24"/>
                  <w:szCs w:val="24"/>
                </w:rPr>
                <m:t>T</m:t>
              </m:r>
              <m:r>
                <m:rPr/>
                <w:rPr>
                  <w:rFonts w:hint="default" w:ascii="Cambria Math" w:hAnsi="Cambria Math" w:cs="Times New Roman"/>
                  <w:sz w:val="24"/>
                  <w:szCs w:val="24"/>
                  <w:lang w:val="en-US"/>
                </w:rPr>
                <m:t xml:space="preserve">rue </m:t>
              </m:r>
              <m:r>
                <m:rPr/>
                <w:rPr>
                  <w:rFonts w:ascii="Cambria Math" w:hAnsi="Cambria Math" w:cs="Times New Roman"/>
                  <w:sz w:val="24"/>
                  <w:szCs w:val="24"/>
                </w:rPr>
                <m:t>P</m:t>
              </m:r>
              <m:r>
                <m:rPr/>
                <w:rPr>
                  <w:rFonts w:hint="default" w:ascii="Cambria Math" w:hAnsi="Cambria Math" w:cs="Times New Roman"/>
                  <w:sz w:val="24"/>
                  <w:szCs w:val="24"/>
                  <w:lang w:val="en-US"/>
                </w:rPr>
                <m:t>ositives (TP)</m:t>
              </m:r>
              <m:r>
                <m:rPr/>
                <w:rPr>
                  <w:rFonts w:ascii="Cambria Math" w:hAnsi="Cambria Math" w:cs="Times New Roman"/>
                  <w:sz w:val="24"/>
                  <w:szCs w:val="24"/>
                </w:rPr>
                <m:t>+F</m:t>
              </m:r>
              <m:r>
                <m:rPr/>
                <w:rPr>
                  <w:rFonts w:hint="default" w:ascii="Cambria Math" w:hAnsi="Cambria Math" w:cs="Times New Roman"/>
                  <w:sz w:val="24"/>
                  <w:szCs w:val="24"/>
                  <w:lang w:val="en-US"/>
                </w:rPr>
                <m:t xml:space="preserve">alse </m:t>
              </m:r>
              <m:r>
                <m:rPr/>
                <w:rPr>
                  <w:rFonts w:ascii="Cambria Math" w:hAnsi="Cambria Math" w:cs="Times New Roman"/>
                  <w:sz w:val="24"/>
                  <w:szCs w:val="24"/>
                </w:rPr>
                <m:t>P</m:t>
              </m:r>
              <m:r>
                <m:rPr/>
                <w:rPr>
                  <w:rFonts w:hint="default" w:ascii="Cambria Math" w:hAnsi="Cambria Math" w:cs="Times New Roman"/>
                  <w:sz w:val="24"/>
                  <w:szCs w:val="24"/>
                  <w:lang w:val="en-US"/>
                </w:rPr>
                <m:t>ositives (FP)</m:t>
              </m:r>
              <m:ctrlPr>
                <w:rPr>
                  <w:rFonts w:ascii="Cambria Math" w:hAnsi="Cambria Math" w:cs="Times New Roman"/>
                  <w:i/>
                  <w:sz w:val="24"/>
                  <w:szCs w:val="24"/>
                </w:rPr>
              </m:ctrlPr>
            </m:den>
          </m:f>
        </m:oMath>
      </m:oMathPara>
    </w:p>
    <w:p w14:paraId="78F87C0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High precision indicates a low false positive rate, which means fewer non-churning customers are incorrectly identified as churners.</w:t>
      </w:r>
    </w:p>
    <w:p w14:paraId="6FBAFE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Recall</w:t>
      </w:r>
    </w:p>
    <w:p w14:paraId="73B796E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Recall, also known as sensitivity or true positive rate, measures the ratio of correctly predicted positive instances to all actual positive instances. It is critical when the cost of false negatives is high, meaning it captures how well the model identifies actual churners.</w:t>
      </w:r>
    </w:p>
    <w:p w14:paraId="46A5E6F2">
      <w:pPr>
        <w:pStyle w:val="37"/>
        <w:spacing w:after="0" w:line="360" w:lineRule="auto"/>
        <w:jc w:val="center"/>
        <w:rPr>
          <w:rFonts w:hint="default" w:ascii="Times New Roman" w:hAnsi="Times New Roman" w:cs="Times New Roman"/>
          <w:sz w:val="24"/>
          <w:szCs w:val="24"/>
          <w:lang w:val="en-US"/>
        </w:rPr>
      </w:pPr>
      <m:oMathPara>
        <m:oMath>
          <m:r>
            <m:rPr>
              <m:sty m:val="p"/>
            </m:rPr>
            <w:rPr>
              <w:rFonts w:hint="default" w:ascii="Cambria Math" w:hAnsi="Cambria Math" w:cs="Times New Roman"/>
              <w:sz w:val="24"/>
              <w:szCs w:val="24"/>
              <w:lang w:val="en-US"/>
            </w:rPr>
            <m:t>Recall=</m:t>
          </m:r>
          <m:f>
            <m:fPr>
              <m:ctrlPr>
                <w:rPr>
                  <w:rFonts w:ascii="Cambria Math" w:hAnsi="Cambria Math" w:cs="Times New Roman"/>
                  <w:i/>
                  <w:sz w:val="24"/>
                  <w:szCs w:val="24"/>
                </w:rPr>
              </m:ctrlPr>
            </m:fPr>
            <m:num>
              <m:r>
                <m:rPr/>
                <w:rPr>
                  <w:rFonts w:ascii="Cambria Math" w:hAnsi="Cambria Math" w:cs="Times New Roman"/>
                  <w:sz w:val="24"/>
                  <w:szCs w:val="24"/>
                </w:rPr>
                <m:t>True Positives (TP)</m:t>
              </m:r>
              <m:ctrlPr>
                <w:rPr>
                  <w:rFonts w:ascii="Cambria Math" w:hAnsi="Cambria Math" w:cs="Times New Roman"/>
                  <w:i/>
                  <w:sz w:val="24"/>
                  <w:szCs w:val="24"/>
                </w:rPr>
              </m:ctrlPr>
            </m:num>
            <m:den>
              <m:r>
                <m:rPr/>
                <w:rPr>
                  <w:rFonts w:ascii="Cambria Math" w:hAnsi="Cambria Math" w:cs="Times New Roman"/>
                  <w:sz w:val="24"/>
                  <w:szCs w:val="24"/>
                </w:rPr>
                <m:t>True Positives (TP)</m:t>
              </m:r>
              <m:r>
                <m:rPr/>
                <w:rPr>
                  <w:rFonts w:hint="default" w:ascii="Cambria Math" w:hAnsi="Cambria Math" w:cs="Times New Roman"/>
                  <w:sz w:val="24"/>
                  <w:szCs w:val="24"/>
                  <w:lang w:val="en-US"/>
                </w:rPr>
                <m:t xml:space="preserve"> </m:t>
              </m:r>
              <m:r>
                <m:rPr/>
                <w:rPr>
                  <w:rFonts w:ascii="Cambria Math" w:hAnsi="Cambria Math" w:cs="Times New Roman"/>
                  <w:sz w:val="24"/>
                  <w:szCs w:val="24"/>
                </w:rPr>
                <m:t>+</m:t>
              </m:r>
              <m:r>
                <m:rPr/>
                <w:rPr>
                  <w:rFonts w:hint="default" w:ascii="Cambria Math" w:hAnsi="Cambria Math" w:cs="Times New Roman"/>
                  <w:sz w:val="24"/>
                  <w:szCs w:val="24"/>
                  <w:lang w:val="en-US"/>
                </w:rPr>
                <m:t xml:space="preserve"> </m:t>
              </m:r>
              <m:r>
                <m:rPr/>
                <w:rPr>
                  <w:rFonts w:ascii="Cambria Math" w:hAnsi="Cambria Math" w:cs="Times New Roman"/>
                  <w:sz w:val="24"/>
                  <w:szCs w:val="24"/>
                </w:rPr>
                <m:t>False Negatives (FN)</m:t>
              </m:r>
              <m:ctrlPr>
                <w:rPr>
                  <w:rFonts w:ascii="Cambria Math" w:hAnsi="Cambria Math" w:cs="Times New Roman"/>
                  <w:i/>
                  <w:sz w:val="24"/>
                  <w:szCs w:val="24"/>
                </w:rPr>
              </m:ctrlPr>
            </m:den>
          </m:f>
        </m:oMath>
      </m:oMathPara>
    </w:p>
    <w:p w14:paraId="6859516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F1-Score</w:t>
      </w:r>
    </w:p>
    <w:p w14:paraId="459424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F1-score is the harmonic mean of precision and recall, providing a single metric that balances both. It is particularly useful when there is a trade-off between precision and recall.</w:t>
      </w:r>
    </w:p>
    <w:p w14:paraId="61E4194F">
      <w:pPr>
        <w:pStyle w:val="37"/>
        <w:spacing w:after="0" w:line="360" w:lineRule="auto"/>
        <w:jc w:val="center"/>
        <w:rPr>
          <w:rFonts w:hint="default" w:ascii="Times New Roman" w:hAnsi="Times New Roman" w:cs="Times New Roman"/>
          <w:sz w:val="24"/>
          <w:szCs w:val="24"/>
          <w:lang w:val="en-US"/>
        </w:rPr>
      </w:pPr>
      <m:oMathPara>
        <m:oMathParaPr>
          <m:jc m:val="center"/>
        </m:oMathParaPr>
        <m:oMath>
          <m:r>
            <m:rPr>
              <m:sty m:val="p"/>
            </m:rPr>
            <w:rPr>
              <w:rFonts w:hint="default" w:ascii="Cambria Math" w:hAnsi="Cambria Math" w:cs="Cambria Math"/>
              <w:sz w:val="24"/>
              <w:szCs w:val="24"/>
              <w:lang w:val="en-US"/>
            </w:rPr>
            <m:t>F1 Score=2</m:t>
          </m:r>
          <m:r>
            <m:rPr>
              <m:sty m:val="p"/>
            </m:rPr>
            <w:rPr>
              <w:rFonts w:ascii="Cambria Math" w:hAnsi="Cambria Math" w:cs="Cambria Math"/>
              <w:sz w:val="24"/>
              <w:szCs w:val="24"/>
              <w:lang w:val="en-US"/>
            </w:rPr>
            <m:t>×</m:t>
          </m:r>
          <m:f>
            <m:fPr>
              <m:ctrlPr>
                <w:rPr>
                  <w:rFonts w:ascii="Cambria Math" w:hAnsi="Cambria Math" w:cs="Cambria Math"/>
                  <w:i/>
                  <w:sz w:val="24"/>
                  <w:szCs w:val="24"/>
                </w:rPr>
              </m:ctrlPr>
            </m:fPr>
            <m:num>
              <m:r>
                <m:rPr/>
                <w:rPr>
                  <w:rFonts w:ascii="Cambria Math" w:hAnsi="Cambria Math" w:cs="Cambria Math"/>
                  <w:sz w:val="24"/>
                  <w:szCs w:val="24"/>
                </w:rPr>
                <m:t>Pre</m:t>
              </m:r>
              <m:r>
                <m:rPr/>
                <w:rPr>
                  <w:rFonts w:hint="default" w:ascii="Cambria Math" w:hAnsi="Cambria Math" w:cs="Cambria Math"/>
                  <w:sz w:val="24"/>
                  <w:szCs w:val="24"/>
                  <w:lang w:val="en-US"/>
                </w:rPr>
                <m:t xml:space="preserve">cision </m:t>
              </m:r>
              <m:r>
                <m:rPr/>
                <w:rPr>
                  <w:rFonts w:ascii="Cambria Math" w:hAnsi="Cambria Math" w:cs="Cambria Math"/>
                  <w:sz w:val="24"/>
                  <w:szCs w:val="24"/>
                  <w:lang w:val="en-US"/>
                </w:rPr>
                <m:t>×</m:t>
              </m:r>
              <m:r>
                <m:rPr/>
                <w:rPr>
                  <w:rFonts w:hint="default" w:ascii="Cambria Math" w:hAnsi="Cambria Math" w:cs="Cambria Math"/>
                  <w:sz w:val="24"/>
                  <w:szCs w:val="24"/>
                  <w:lang w:val="en-US"/>
                </w:rPr>
                <m:t xml:space="preserve"> </m:t>
              </m:r>
              <m:r>
                <m:rPr/>
                <w:rPr>
                  <w:rFonts w:ascii="Cambria Math" w:hAnsi="Cambria Math" w:cs="Cambria Math"/>
                  <w:sz w:val="24"/>
                  <w:szCs w:val="24"/>
                </w:rPr>
                <m:t>Recall</m:t>
              </m:r>
              <m:ctrlPr>
                <w:rPr>
                  <w:rFonts w:ascii="Cambria Math" w:hAnsi="Cambria Math" w:cs="Cambria Math"/>
                  <w:i/>
                  <w:sz w:val="24"/>
                  <w:szCs w:val="24"/>
                </w:rPr>
              </m:ctrlPr>
            </m:num>
            <m:den>
              <m:r>
                <m:rPr/>
                <w:rPr>
                  <w:rFonts w:ascii="Cambria Math" w:hAnsi="Cambria Math" w:cs="Cambria Math"/>
                  <w:sz w:val="24"/>
                  <w:szCs w:val="24"/>
                </w:rPr>
                <m:t>Pre</m:t>
              </m:r>
              <m:r>
                <m:rPr/>
                <w:rPr>
                  <w:rFonts w:hint="default" w:ascii="Cambria Math" w:hAnsi="Cambria Math" w:cs="Cambria Math"/>
                  <w:sz w:val="24"/>
                  <w:szCs w:val="24"/>
                  <w:lang w:val="en-US"/>
                </w:rPr>
                <m:t xml:space="preserve">cision </m:t>
              </m:r>
              <m:r>
                <m:rPr/>
                <w:rPr>
                  <w:rFonts w:ascii="Cambria Math" w:hAnsi="Cambria Math" w:cs="Cambria Math"/>
                  <w:sz w:val="24"/>
                  <w:szCs w:val="24"/>
                </w:rPr>
                <m:t>+</m:t>
              </m:r>
              <m:r>
                <m:rPr/>
                <w:rPr>
                  <w:rFonts w:hint="default" w:ascii="Cambria Math" w:hAnsi="Cambria Math" w:cs="Cambria Math"/>
                  <w:sz w:val="24"/>
                  <w:szCs w:val="24"/>
                  <w:lang w:val="en-US"/>
                </w:rPr>
                <m:t xml:space="preserve"> </m:t>
              </m:r>
              <m:r>
                <m:rPr/>
                <w:rPr>
                  <w:rFonts w:ascii="Cambria Math" w:hAnsi="Cambria Math" w:cs="Cambria Math"/>
                  <w:sz w:val="24"/>
                  <w:szCs w:val="24"/>
                </w:rPr>
                <m:t>Recall</m:t>
              </m:r>
              <m:ctrlPr>
                <w:rPr>
                  <w:rFonts w:ascii="Cambria Math" w:hAnsi="Cambria Math" w:cs="Cambria Math"/>
                  <w:i/>
                  <w:sz w:val="24"/>
                  <w:szCs w:val="24"/>
                </w:rPr>
              </m:ctrlPr>
            </m:den>
          </m:f>
        </m:oMath>
      </m:oMathPara>
    </w:p>
    <w:p w14:paraId="481056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 high F1-score indicates that the model has both high precision and high recall, which is crucial for effective churn prediction.</w:t>
      </w:r>
    </w:p>
    <w:p w14:paraId="35DAE1B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ROC-AUC (Receiver Operating Characteristic - Area Under Curve)</w:t>
      </w:r>
    </w:p>
    <w:p w14:paraId="291268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ROC curve is a graphical representation of a model's diagnostic ability. It plots the true positive rate (recall) against the false positive rate (1-specificity) at various threshold settings. The Area Under the ROC Curve (AUC) quantifies the overall ability of the model to discriminate between positive and negative classes.</w:t>
      </w:r>
    </w:p>
    <w:p w14:paraId="4230648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ROC Curve</w:t>
      </w:r>
    </w:p>
    <w:p w14:paraId="558D093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ROC curve shows the trade-off between sensitivity (recall) and specificity (true negative rate). A model with a curve closer to the top-left corner indicates better performance.</w:t>
      </w:r>
    </w:p>
    <w:p w14:paraId="1EA6BC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AUC</w:t>
      </w:r>
    </w:p>
    <w:p w14:paraId="7DAA89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AUC score ranges from 0 to 1, with a higher value indicating better performance. An AUC of 0.5 suggests a model with no discriminatory power, equivalent to random guessing, while an AUC of 1 indicates perfect discrimination.</w:t>
      </w:r>
    </w:p>
    <w:p w14:paraId="7BF1151B">
      <w:pPr>
        <w:pStyle w:val="37"/>
        <w:spacing w:after="0" w:line="360" w:lineRule="auto"/>
        <w:jc w:val="center"/>
        <w:rPr>
          <w:rFonts w:hint="default" w:ascii="Times New Roman" w:hAnsi="Times New Roman" w:cs="Times New Roman"/>
          <w:sz w:val="24"/>
          <w:szCs w:val="24"/>
          <w:lang w:val="en-US"/>
        </w:rPr>
      </w:pPr>
      <m:oMathPara>
        <m:oMathParaPr>
          <m:jc m:val="center"/>
        </m:oMathParaPr>
        <m:oMath>
          <m:r>
            <m:rPr>
              <m:sty m:val="p"/>
            </m:rPr>
            <w:rPr>
              <w:rFonts w:hint="default" w:ascii="Cambria Math" w:hAnsi="Times New Roman" w:cs="Times New Roman"/>
              <w:sz w:val="24"/>
              <w:szCs w:val="24"/>
              <w:lang w:val="en-US"/>
            </w:rPr>
            <m:t>AUC =</m:t>
          </m:r>
          <m:nary>
            <m:naryPr>
              <m:limLoc m:val="subSup"/>
              <m:ctrlPr>
                <w:rPr>
                  <w:rFonts w:ascii="Cambria Math" w:hAnsi="Cambria Math" w:cs="Times New Roman"/>
                  <w:i/>
                  <w:sz w:val="24"/>
                  <w:szCs w:val="24"/>
                </w:rPr>
              </m:ctrlPr>
            </m:naryPr>
            <m:sub>
              <m:r>
                <m:rPr/>
                <w:rPr>
                  <w:rFonts w:ascii="Cambria Math" w:hAnsi="Cambria Math" w:cs="Times New Roman"/>
                  <w:sz w:val="24"/>
                  <w:szCs w:val="24"/>
                </w:rPr>
                <m:t>0</m:t>
              </m:r>
              <m:ctrlPr>
                <w:rPr>
                  <w:rFonts w:ascii="Cambria Math" w:hAnsi="Cambria Math" w:cs="Times New Roman"/>
                  <w:i/>
                  <w:sz w:val="24"/>
                  <w:szCs w:val="24"/>
                </w:rPr>
              </m:ctrlPr>
            </m:sub>
            <m:sup>
              <m:r>
                <m:rPr/>
                <w:rPr>
                  <w:rFonts w:ascii="Cambria Math" w:hAnsi="Cambria Math" w:cs="Times New Roman"/>
                  <w:sz w:val="24"/>
                  <w:szCs w:val="24"/>
                </w:rPr>
                <m:t>1</m:t>
              </m:r>
              <m:ctrlPr>
                <w:rPr>
                  <w:rFonts w:ascii="Cambria Math" w:hAnsi="Cambria Math" w:cs="Times New Roman"/>
                  <w:i/>
                  <w:sz w:val="24"/>
                  <w:szCs w:val="24"/>
                </w:rPr>
              </m:ctrlPr>
            </m:sup>
            <m:e>
              <m:r>
                <m:rPr/>
                <w:rPr>
                  <w:rFonts w:ascii="Cambria Math" w:hAnsi="Cambria Math" w:cs="Times New Roman"/>
                  <w:sz w:val="24"/>
                  <w:szCs w:val="24"/>
                </w:rPr>
                <m:t>ROC</m:t>
              </m:r>
              <m:d>
                <m:dPr>
                  <m:ctrlPr>
                    <w:rPr>
                      <w:rFonts w:ascii="Cambria Math" w:hAnsi="Cambria Math" w:cs="Times New Roman"/>
                      <w:i/>
                      <w:sz w:val="24"/>
                      <w:szCs w:val="24"/>
                    </w:rPr>
                  </m:ctrlPr>
                </m:dPr>
                <m:e>
                  <m:r>
                    <m:rPr/>
                    <w:rPr>
                      <w:rFonts w:ascii="Cambria Math" w:hAnsi="Cambria Math" w:cs="Times New Roman"/>
                      <w:sz w:val="24"/>
                      <w:szCs w:val="24"/>
                    </w:rPr>
                    <m:t>t</m:t>
                  </m:r>
                  <m:ctrlPr>
                    <w:rPr>
                      <w:rFonts w:ascii="Cambria Math" w:hAnsi="Cambria Math" w:cs="Times New Roman"/>
                      <w:i/>
                      <w:sz w:val="24"/>
                      <w:szCs w:val="24"/>
                    </w:rPr>
                  </m:ctrlPr>
                </m:e>
              </m:d>
              <m:ctrlPr>
                <w:rPr>
                  <w:rFonts w:ascii="Cambria Math" w:hAnsi="Cambria Math" w:cs="Times New Roman"/>
                  <w:i/>
                  <w:sz w:val="24"/>
                  <w:szCs w:val="24"/>
                </w:rPr>
              </m:ctrlPr>
            </m:e>
          </m:nary>
          <m:r>
            <m:rPr/>
            <w:rPr>
              <w:rFonts w:ascii="Cambria Math" w:hAnsi="Cambria Math" w:cs="Times New Roman" w:eastAsiaTheme="minorEastAsia"/>
              <w:sz w:val="24"/>
              <w:szCs w:val="24"/>
            </w:rPr>
            <m:t>dt</m:t>
          </m:r>
        </m:oMath>
      </m:oMathPara>
    </w:p>
    <w:p w14:paraId="0AE78B1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AUC is particularly useful for evaluating models when there is a class imbalance, as it provides a single value to compare different models.</w:t>
      </w:r>
    </w:p>
    <w:p w14:paraId="6FCF269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Cross-Validation Techniques</w:t>
      </w:r>
    </w:p>
    <w:p w14:paraId="7907CAF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Cross-validation is a robust technique to evaluate the </w:t>
      </w:r>
      <w:r>
        <w:rPr>
          <w:rFonts w:ascii="Times New Roman" w:hAnsi="Times New Roman" w:cs="Times New Roman"/>
          <w:sz w:val="24"/>
          <w:szCs w:val="24"/>
          <w:lang w:val="en-US"/>
        </w:rPr>
        <w:t>generalization</w:t>
      </w:r>
      <w:r>
        <w:rPr>
          <w:rFonts w:ascii="Times New Roman" w:hAnsi="Times New Roman" w:cs="Times New Roman"/>
          <w:sz w:val="24"/>
          <w:szCs w:val="24"/>
        </w:rPr>
        <w:t xml:space="preserve"> of a model by partitioning the data into multiple subsets and testing the model on different subsets. Common cross-validation methods include:</w:t>
      </w:r>
    </w:p>
    <w:p w14:paraId="3B023F6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K-Fold Cross-Validation</w:t>
      </w:r>
    </w:p>
    <w:p w14:paraId="6047D60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k-fold cross-validation, the dataset is randomly partitioned into k equally sized folds. The model is trained on k-1 folds and tested on the remaining fold. This process is repeated k times, with each fold used as the test set once. The final evaluation metric is the average of the metrics from each fold.</w:t>
      </w:r>
    </w:p>
    <w:p w14:paraId="16E01F1A">
      <w:pPr>
        <w:pStyle w:val="37"/>
        <w:spacing w:after="0" w:line="360" w:lineRule="auto"/>
        <w:jc w:val="center"/>
        <w:rPr>
          <w:rFonts w:hint="default" w:ascii="Times New Roman" w:hAnsi="Times New Roman" w:cs="Times New Roman"/>
          <w:sz w:val="24"/>
          <w:szCs w:val="24"/>
          <w:lang w:val="en-US"/>
        </w:rPr>
      </w:pPr>
      <m:oMathPara>
        <m:oMathParaPr>
          <m:jc m:val="center"/>
        </m:oMathParaPr>
        <m:oMath>
          <m:r>
            <m:rPr>
              <m:sty m:val="p"/>
            </m:rPr>
            <w:rPr>
              <w:rFonts w:ascii="Times New Roman" w:hAnsi="Times New Roman" w:cs="Times New Roman"/>
              <w:sz w:val="24"/>
              <w:szCs w:val="24"/>
            </w:rPr>
            <m:t>CV Accuracy</m:t>
          </m:r>
          <m:r>
            <m:rPr>
              <m:sty m:val="p"/>
            </m:rPr>
            <w:rPr>
              <w:rFonts w:hint="default" w:ascii="Cambria Math" w:hAnsi="Cambria Math" w:cs="Times New Roman"/>
              <w:sz w:val="24"/>
              <w:szCs w:val="24"/>
              <w:lang w:val="en-US"/>
            </w:rPr>
            <m:t>=</m:t>
          </m:r>
          <m:f>
            <m:fPr>
              <m:ctrlPr>
                <w:rPr>
                  <w:rFonts w:ascii="Cambria Math" w:hAnsi="Cambria Math" w:cs="Times New Roman"/>
                  <w:i/>
                  <w:sz w:val="24"/>
                  <w:szCs w:val="24"/>
                </w:rPr>
              </m:ctrlPr>
            </m:fPr>
            <m:num>
              <m:r>
                <m:rPr/>
                <w:rPr>
                  <w:rFonts w:ascii="Cambria Math" w:hAnsi="Cambria Math" w:cs="Times New Roman"/>
                  <w:sz w:val="24"/>
                  <w:szCs w:val="24"/>
                </w:rPr>
                <m:t>1</m:t>
              </m:r>
              <m:ctrlPr>
                <w:rPr>
                  <w:rFonts w:ascii="Cambria Math" w:hAnsi="Cambria Math" w:cs="Times New Roman"/>
                  <w:i/>
                  <w:sz w:val="24"/>
                  <w:szCs w:val="24"/>
                </w:rPr>
              </m:ctrlPr>
            </m:num>
            <m:den>
              <m:r>
                <m:rPr/>
                <w:rPr>
                  <w:rFonts w:ascii="Cambria Math" w:hAnsi="Cambria Math" w:cs="Times New Roman"/>
                  <w:sz w:val="24"/>
                  <w:szCs w:val="24"/>
                </w:rPr>
                <m:t>k</m:t>
              </m:r>
              <m:ctrlPr>
                <w:rPr>
                  <w:rFonts w:ascii="Cambria Math" w:hAnsi="Cambria Math" w:cs="Times New Roman"/>
                  <w:i/>
                  <w:sz w:val="24"/>
                  <w:szCs w:val="24"/>
                </w:rPr>
              </m:ctrlPr>
            </m:den>
          </m:f>
          <m:nary>
            <m:naryPr>
              <m:chr m:val="∑"/>
              <m:limLoc m:val="undOvr"/>
              <m:ctrlPr>
                <w:rPr>
                  <w:rFonts w:ascii="Cambria Math" w:hAnsi="Cambria Math" w:cs="Times New Roman"/>
                  <w:i/>
                  <w:sz w:val="24"/>
                  <w:szCs w:val="24"/>
                </w:rPr>
              </m:ctrlPr>
            </m:naryPr>
            <m:sub>
              <m:r>
                <m:rPr/>
                <w:rPr>
                  <w:rFonts w:ascii="Cambria Math" w:hAnsi="Cambria Math" w:cs="Times New Roman"/>
                  <w:sz w:val="24"/>
                  <w:szCs w:val="24"/>
                </w:rPr>
                <m:t>i=1</m:t>
              </m:r>
              <m:ctrlPr>
                <w:rPr>
                  <w:rFonts w:ascii="Cambria Math" w:hAnsi="Cambria Math" w:cs="Times New Roman"/>
                  <w:i/>
                  <w:sz w:val="24"/>
                  <w:szCs w:val="24"/>
                </w:rPr>
              </m:ctrlPr>
            </m:sub>
            <m:sup>
              <m:r>
                <m:rPr/>
                <w:rPr>
                  <w:rFonts w:ascii="Cambria Math" w:hAnsi="Cambria Math" w:cs="Times New Roman"/>
                  <w:sz w:val="24"/>
                  <w:szCs w:val="24"/>
                </w:rPr>
                <m:t>k</m:t>
              </m:r>
              <m:ctrlPr>
                <w:rPr>
                  <w:rFonts w:ascii="Cambria Math" w:hAnsi="Cambria Math" w:cs="Times New Roman"/>
                  <w:i/>
                  <w:sz w:val="24"/>
                  <w:szCs w:val="24"/>
                </w:rPr>
              </m:ctrlPr>
            </m:sup>
            <m:e>
              <m:sSub>
                <m:sSubPr>
                  <m:ctrlPr>
                    <w:rPr>
                      <w:rFonts w:ascii="Cambria Math" w:hAnsi="Cambria Math" w:cs="Times New Roman"/>
                      <w:i/>
                      <w:sz w:val="24"/>
                      <w:szCs w:val="24"/>
                    </w:rPr>
                  </m:ctrlPr>
                </m:sSubPr>
                <m:e>
                  <m:r>
                    <m:rPr/>
                    <w:rPr>
                      <w:rFonts w:hint="default" w:ascii="Cambria Math" w:hAnsi="Cambria Math" w:cs="Times New Roman"/>
                      <w:sz w:val="24"/>
                      <w:szCs w:val="24"/>
                      <w:lang w:val="en-US"/>
                    </w:rPr>
                    <m:t>Accuracy</m:t>
                  </m:r>
                  <m:ctrlPr>
                    <w:rPr>
                      <w:rFonts w:ascii="Cambria Math" w:hAnsi="Cambria Math" w:cs="Times New Roman"/>
                      <w:i/>
                      <w:sz w:val="24"/>
                      <w:szCs w:val="24"/>
                    </w:rPr>
                  </m:ctrlPr>
                </m:e>
                <m:sub>
                  <m:r>
                    <m:rPr/>
                    <w:rPr>
                      <w:rFonts w:hint="default" w:ascii="Cambria Math" w:hAnsi="Cambria Math" w:cs="Times New Roman"/>
                      <w:sz w:val="24"/>
                      <w:szCs w:val="24"/>
                      <w:lang w:val="en-US"/>
                    </w:rPr>
                    <m:t>i</m:t>
                  </m:r>
                  <m:ctrlPr>
                    <w:rPr>
                      <w:rFonts w:ascii="Cambria Math" w:hAnsi="Cambria Math" w:cs="Times New Roman"/>
                      <w:i/>
                      <w:sz w:val="24"/>
                      <w:szCs w:val="24"/>
                    </w:rPr>
                  </m:ctrlPr>
                </m:sub>
              </m:sSub>
              <m:ctrlPr>
                <w:rPr>
                  <w:rFonts w:ascii="Cambria Math" w:hAnsi="Cambria Math" w:cs="Times New Roman"/>
                  <w:i/>
                  <w:sz w:val="24"/>
                  <w:szCs w:val="24"/>
                </w:rPr>
              </m:ctrlPr>
            </m:e>
          </m:nary>
        </m:oMath>
      </m:oMathPara>
    </w:p>
    <w:p w14:paraId="63E652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K-fold cross-validation helps mitigate </w:t>
      </w:r>
      <w:r>
        <w:rPr>
          <w:rFonts w:ascii="Times New Roman" w:hAnsi="Times New Roman" w:cs="Times New Roman"/>
          <w:sz w:val="24"/>
          <w:szCs w:val="24"/>
          <w:lang w:val="en-US"/>
        </w:rPr>
        <w:t>over-fitting</w:t>
      </w:r>
      <w:r>
        <w:rPr>
          <w:rFonts w:ascii="Times New Roman" w:hAnsi="Times New Roman" w:cs="Times New Roman"/>
          <w:sz w:val="24"/>
          <w:szCs w:val="24"/>
        </w:rPr>
        <w:t xml:space="preserve"> and provides a more accurate estimate of model performance on unseen data.</w:t>
      </w:r>
    </w:p>
    <w:p w14:paraId="1608945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Stratified K-Fold Cross-Validation</w:t>
      </w:r>
    </w:p>
    <w:p w14:paraId="623058B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Stratified k-fold cross-validation ensures that each fold has the same proportion of classes as the original dataset. This is particularly important for imbalanced datasets, like churn prediction, to maintain the distribution of churners and non-churners in each fold.</w:t>
      </w:r>
    </w:p>
    <w:p w14:paraId="73C8A01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Leave-One-Out Cross-Validation (LOOCV)</w:t>
      </w:r>
    </w:p>
    <w:p w14:paraId="72B2D8B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LOOCV is a special case of k-fold cross-validation where k is equal to the number of data points in the dataset. The model is trained on all data points except one, which is used as the test set. This process is repeated for each data point. While LOOCV provides an unbiased estimate of model performance, it is computationally expensive for large datasets.</w:t>
      </w:r>
    </w:p>
    <w:p w14:paraId="522FD0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Holdout Method</w:t>
      </w:r>
    </w:p>
    <w:p w14:paraId="0F643BC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holdout method splits the dataset into two parts: a training set and a test set. The model is trained on the training set and evaluated on the test set. While simple, this method can be sensitive to how the data is split, and it does not provide as robust an estimate of model performance as cross-validation.</w:t>
      </w:r>
    </w:p>
    <w:p w14:paraId="135557F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sz w:val="24"/>
          <w:szCs w:val="24"/>
        </w:rPr>
        <w:t>Bootstrap Method</w:t>
      </w:r>
    </w:p>
    <w:p w14:paraId="4C1BA9E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bootstrap method involves sampling the dataset with replacement to create multiple training sets. The model is trained on each bootstrap sample and evaluated on the remaining data points. This technique can provide estimates of the variance of model performance.</w:t>
      </w:r>
    </w:p>
    <w:p w14:paraId="5C526F64">
      <w:pPr>
        <w:pStyle w:val="3"/>
        <w:spacing w:line="360" w:lineRule="auto"/>
      </w:pPr>
      <w:bookmarkStart w:id="24" w:name="_Toc183163336"/>
      <w:r>
        <w:t>2.10</w:t>
      </w:r>
      <w:r>
        <w:rPr>
          <w:rFonts w:hint="default"/>
          <w:lang w:val="en-US"/>
        </w:rPr>
        <w:tab/>
      </w:r>
      <w:r>
        <w:t>Challenges and Limitations in Churn Prediction</w:t>
      </w:r>
      <w:bookmarkEnd w:id="24"/>
    </w:p>
    <w:p w14:paraId="6188330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Predicting customer churn in the telecommunications industry presents several challenges and limitations that can significantly impact the accuracy and effectiveness of churn prediction models. These challenges include data quality and availability, model interpretability, and handling class imbalance.</w:t>
      </w:r>
    </w:p>
    <w:p w14:paraId="411B973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Data Quality and Availability</w:t>
      </w:r>
    </w:p>
    <w:p w14:paraId="5A85383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Incomplete and Inconsistent Data: One of the primary challenges in churn prediction is ensuring high-quality data. Data collected from various sources may be incomplete or inconsistent. For instance, customer data might have missing values for important attributes like billing information or usage patterns. Incomplete data can lead to inaccurate predictions, as the model may not have enough information to accurately classify customers as likely churners or non-churners (Xu et al., 2020).</w:t>
      </w:r>
    </w:p>
    <w:p w14:paraId="43C9FC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Data Integration from Multiple Sources: Telecommunications companies often collect data from multiple sources such as call records, billing systems, customer service interactions, and social media. Integrating this data into a single cohesive dataset is complex and can introduce errors if not managed properly. Discrepancies between different data sources can lead to inconsistencies that affect the model’s performance (Moro et al., 2019).</w:t>
      </w:r>
    </w:p>
    <w:p w14:paraId="36DD448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Timeliness of Data: The predictive power of churn models is highly dependent on the timeliness of the data. Data that is outdated may not accurately reflect current customer behavior. For instance, a customer’s usage patterns may have changed significantly since the data was collected, leading to incorrect predictions. Ensuring real-time or near-real-time data availability is crucial for accurate churn prediction (Amin et al., 2019).</w:t>
      </w:r>
    </w:p>
    <w:p w14:paraId="619A257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Data Privacy and Security: Collecting and utilizing customer data for churn prediction raises privacy and security concerns. Companies must ensure compliance with data protection regulations such as the General Data Protection Regulation (GDPR) in Europe or the Nigeria Data Protection Regulation (NDPR) in Nigeria. These regulations impose strict requirements on data collection, storage, and usage, which can limit the availability of data for churn prediction models (Kantarcioglu et al., 2020).</w:t>
      </w:r>
    </w:p>
    <w:p w14:paraId="719C11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Model Interpretability</w:t>
      </w:r>
    </w:p>
    <w:p w14:paraId="0B64FCC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Complexity of Machine Learning Models: Advanced machine learning models like deep learning and ensemble methods are often seen as "black boxes" due to their complexity. These models can capture intricate patterns in the data, but their decision-making process is not easily interpretable. For instance, a neural network with multiple hidden layers can provide accurate predictions but understanding why a particular customer is predicted to churn can be challenging (Rudin, 2019).</w:t>
      </w:r>
    </w:p>
    <w:p w14:paraId="3C426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Regulatory Requirements: In industries like telecommunications, regulatory bodies may require explanations for automated decisions, especially those affecting customer relations. Lack of interpretability in churn prediction models can make it difficult for companies to comply with these regulations. Transparent models, such as decision trees, are preferred in such scenarios, but they may not always provide the best predictive performance (Molnar, 2020).</w:t>
      </w:r>
    </w:p>
    <w:p w14:paraId="5B7A656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Trust and Adoption by Stakeholders: For churn prediction models to be effectively used by marketing and customer service teams, they need to be trusted by these stakeholders. If the model's predictions and underlying logic are not transparent, stakeholders may be hesitant to rely on the model's recommendations. Ensuring that the models are interpretable can help build trust and facilitate adoption (Lipton, 2018).</w:t>
      </w:r>
    </w:p>
    <w:p w14:paraId="0191E34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Handling Class Imbalance</w:t>
      </w:r>
    </w:p>
    <w:p w14:paraId="54C935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Imbalance in Churn Data: Customer churn datasets are often imbalanced, with a small percentage of customers actually churning compared to the majority who stay. This imbalance poses a significant challenge for machine learning models, which may become biased towards the majority class and fail to accurately identify churners (He and Garcia, 2019).</w:t>
      </w:r>
    </w:p>
    <w:p w14:paraId="46142CA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Impact on Model Performance: Standard machine learning algorithms tend to perform poorly on imbalanced datasets because they assume an equal distribution of classes. This can result in high accuracy but low recall for the minority class (churners). In churn prediction, the goal is to identify as many churners as possible, making recall a critical metric (Krawczyk, 2016).</w:t>
      </w:r>
    </w:p>
    <w:p w14:paraId="0F0210F6">
      <w:pPr>
        <w:pStyle w:val="3"/>
        <w:spacing w:line="360" w:lineRule="auto"/>
      </w:pPr>
      <w:bookmarkStart w:id="25" w:name="_Toc183163337"/>
      <w:r>
        <w:t>2.11</w:t>
      </w:r>
      <w:r>
        <w:rPr>
          <w:rFonts w:hint="default"/>
          <w:lang w:val="en-US"/>
        </w:rPr>
        <w:tab/>
      </w:r>
      <w:r>
        <w:t>Case Studies and Applications</w:t>
      </w:r>
      <w:bookmarkEnd w:id="25"/>
    </w:p>
    <w:p w14:paraId="5D515E5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field of customer churn prediction has seen various successful implementations and research endeavors in the telecommunications industry. These case studies offer valuable insights into effective strategies for managing custo</w:t>
      </w:r>
      <w:bookmarkStart w:id="61" w:name="_GoBack"/>
      <w:bookmarkEnd w:id="61"/>
      <w:r>
        <w:rPr>
          <w:rFonts w:ascii="Times New Roman" w:hAnsi="Times New Roman" w:cs="Times New Roman"/>
          <w:sz w:val="24"/>
          <w:szCs w:val="24"/>
        </w:rPr>
        <w:t>mer churn and highlight lessons learned from real-world applications of machine learning techniques. This section reviews notable research and case studies, focusing on their methodologies, outcomes, and implications for future churn prediction efforts.</w:t>
      </w:r>
    </w:p>
    <w:p w14:paraId="3D91A8D9">
      <w:pPr>
        <w:pStyle w:val="3"/>
        <w:spacing w:line="360" w:lineRule="auto"/>
      </w:pPr>
      <w:bookmarkStart w:id="26" w:name="_Toc183163338"/>
      <w:bookmarkStart w:id="27" w:name="_Toc183163339"/>
      <w:r>
        <w:t>2.11.</w:t>
      </w:r>
      <w:r>
        <w:rPr>
          <w:rFonts w:hint="default"/>
          <w:lang w:val="en-US"/>
        </w:rPr>
        <w:t xml:space="preserve">1 </w:t>
      </w:r>
      <w:r>
        <w:t>Review of Case Studies in</w:t>
      </w:r>
      <w:r>
        <w:rPr>
          <w:rFonts w:hint="default"/>
          <w:lang w:val="en-US"/>
        </w:rPr>
        <w:t xml:space="preserve"> </w:t>
      </w:r>
      <w:r>
        <w:t>Telecommunications</w:t>
      </w:r>
      <w:bookmarkEnd w:id="26"/>
    </w:p>
    <w:p w14:paraId="1E81C9E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Case Study 1: Vodafone’s Churn Prediction Model</w:t>
      </w:r>
    </w:p>
    <w:p w14:paraId="31C778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Vodafone, a leading global telecommunications provider, implemented a churn prediction model to better understand and mitigate customer attrition. The model utilized a range of machine learning techniques, including logistic regression, decision trees, and random forests, to predict customer churn based on features such as customer demographics, service usage patterns, and billing information (Kshetri, 2017).</w:t>
      </w:r>
    </w:p>
    <w:p w14:paraId="0509AA8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Vodafone’s approach focused on integrating data from multiple sources, including customer service interactions, billing records, and network usage data. They employed ensemble methods to combine the predictions from various models, improving the accuracy of their churn forecasts. The key findings from Vodafone’s experience include the importance of data integration and the effectiveness of ensemble methods in achieving high predictive performance. The company successfully used these insights to develop targeted retention strategies, resulting in a reduction in churn rates by approximately 10% (Kshetri, 2017).</w:t>
      </w:r>
    </w:p>
    <w:p w14:paraId="33A865EC">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Case Study 2: AT&amp;T’s Use of Machine Learning for Churn Prediction</w:t>
      </w:r>
    </w:p>
    <w:p w14:paraId="0C09AF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AT&amp;T, another major player in the telecommunications industry, implemented a machine learning-based churn prediction system to address high customer attrition rates. Their model employed techniques such as support vector machines (SVM) and gradient boosting to analyze customer behavior and predict churn risk (Nguyen and Simkin, 2017).</w:t>
      </w:r>
    </w:p>
    <w:p w14:paraId="066134D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AT&amp;T’s system was designed to analyze large volumes of data, including customer feedback, service usage metrics, and transaction history. The model incorporated feature engineering techniques to extract relevant features from raw data, such as changes in service usage and customer complaints. The application of machine learning methods allowed AT&amp;T to identify at-risk customers more accurately and implement targeted retention initiatives. As a result, AT&amp;T saw a significant improvement in their customer retention efforts and a reduction in churn rates by approximately 12% (Nguyen and Simkin, 2017).</w:t>
      </w:r>
    </w:p>
    <w:p w14:paraId="33CAC94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Case Study 3: T-Mobile’s Predictive Analytics for Churn Management</w:t>
      </w:r>
    </w:p>
    <w:p w14:paraId="54A335D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T-Mobile, a leading telecommunications provider in the United States and Europe, implemented a predictive analytics model to manage customer churn. T-Mobile’s model utilized various machine learning algorithms, including decision trees, random forests, and neural networks, to predict churn and identify key factors influencing customer decisions (Verhoef et al., 2016).</w:t>
      </w:r>
    </w:p>
    <w:p w14:paraId="1834E85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study revealed that the integration of predictive analytics into T-Mobile’s customer management processes led to the development of effective retention strategies, such as personalized offers and targeted marketing campaigns. T-Mobile’s success in reducing churn rates by 15% demonstrated the value of advanced analytics in managing customer relationships and highlighted the importance of continuous model refinement and feature selection (Verhoef et al., 2016).</w:t>
      </w:r>
    </w:p>
    <w:p w14:paraId="31E31A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Case Study 4: O2’s Customer Retention Strategies</w:t>
      </w:r>
    </w:p>
    <w:p w14:paraId="54DF123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O2, a major telecommunications company in the UK and Ireland, employed a churn prediction model using machine learning techniques such as logistic regression and random forests. The focus of O2’s model was on understanding customer churn patterns and developing retention strategies based on predictive insights (Li and Liu, 2018).</w:t>
      </w:r>
    </w:p>
    <w:p w14:paraId="4C40A3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O2’s approach involved analyzing customer data to identify churn triggers, such as service disruptions and billing issues. The company used the insights gained from the churn prediction model to develop proactive retention strategies, including targeted promotions and improved customer service. O2’s implementation of these strategies led to a 7% decrease in churn rates and provided valuable lessons on the importance of customer-centric retention efforts (Li and Liu, 2018).</w:t>
      </w:r>
    </w:p>
    <w:p w14:paraId="406D0C6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Successful Implementations and Lessons Learned</w:t>
      </w:r>
    </w:p>
    <w:p w14:paraId="079CD8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case studies reviewed highlight several key lessons for successful churn prediction implementations:</w:t>
      </w:r>
    </w:p>
    <w:p w14:paraId="4BC3D1F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Importance of Data Quality and Integration: All case studies emphasize the necessity of high-quality, integrated data for effective churn prediction. Ensuring data completeness, consistency, and timeliness is critical for developing accurate models and implementing successful retention strategies (Kshetri, 2017; Nguyen and Simkin, 2017).</w:t>
      </w:r>
    </w:p>
    <w:p w14:paraId="5D1A57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Value of Ensemble Methods and Advanced Algorithms: The use of ensemble methods and advanced machine learning algorithms, such as random forests and gradient boosting, has been a common theme in successful churn prediction models. These techniques provide robust performance and help improve prediction accuracy by combining the strengths of multiple models (Nguyen and Simkin, 2017; Verhoef et al., 2016).</w:t>
      </w:r>
    </w:p>
    <w:p w14:paraId="74600F1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Role of Feature Engineering: Effective feature engineering is crucial for developing accurate churn prediction models. The case studies demonstrate that selecting and engineering relevant features, such as service usage patterns and customer complaints, can significantly enhance model performance (Li and Liu, 2018; Verhoef et al., 2016).</w:t>
      </w:r>
    </w:p>
    <w:p w14:paraId="69B022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Need for Continuous Model Improvement: Successful churn prediction efforts require ongoing model refinement and adaptation to changing customer behaviors. Regular updates and adjustments to the models ensure that they remain effective in predicting churn and supporting retention strategies (Kshetri, 2017).</w:t>
      </w:r>
    </w:p>
    <w:p w14:paraId="5575D1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sz w:val="24"/>
          <w:szCs w:val="24"/>
        </w:rPr>
        <w:t>Effective Use of Predictive Insights: Translating predictive insights into actionable retention strategies is essential for reducing churn. The case studies illustrate that companies can leverage model predictions to develop targeted marketing campaigns, personalized offers, and improved customer service (Nguyen and Simkin, 2017; Li and Liu, 2018).</w:t>
      </w:r>
    </w:p>
    <w:p w14:paraId="282E5680">
      <w:pPr>
        <w:pStyle w:val="3"/>
        <w:spacing w:line="360" w:lineRule="auto"/>
      </w:pPr>
      <w:r>
        <w:t>2.12</w:t>
      </w:r>
      <w:r>
        <w:rPr>
          <w:rFonts w:hint="default"/>
          <w:lang w:val="en-US"/>
        </w:rPr>
        <w:tab/>
      </w:r>
      <w:r>
        <w:t>Theoretical</w:t>
      </w:r>
      <w:r>
        <w:rPr>
          <w:rFonts w:hint="default"/>
          <w:lang w:val="en-US"/>
        </w:rPr>
        <w:t xml:space="preserve"> Design</w:t>
      </w:r>
      <w:r>
        <w:t xml:space="preserve"> </w:t>
      </w:r>
      <w:r>
        <w:rPr>
          <w:rFonts w:hint="default"/>
          <w:lang w:val="en-US"/>
        </w:rPr>
        <w:t>F</w:t>
      </w:r>
      <w:r>
        <w:t>ramework</w:t>
      </w:r>
      <w:bookmarkEnd w:id="27"/>
    </w:p>
    <w:p w14:paraId="14B92D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Understanding customer churn in the telecommunications industry requires a multifaceted theoretical framework that integrates insights from customer behavior theories, machine learning theories, and information systems theory. This comprehensive approach not only aids in predicting churn but also in developing effective strategies to mitigate it. Each component of this framework contributes uniquely to the overall understanding and solution of the churn problem.</w:t>
      </w:r>
    </w:p>
    <w:p w14:paraId="1F0F1458">
      <w:pPr>
        <w:pStyle w:val="3"/>
        <w:spacing w:line="360" w:lineRule="auto"/>
      </w:pPr>
      <w:bookmarkStart w:id="28" w:name="_Toc183163340"/>
      <w:r>
        <w:t>2.12.1</w:t>
      </w:r>
      <w:r>
        <w:rPr>
          <w:rFonts w:hint="default"/>
          <w:lang w:val="en-US"/>
        </w:rPr>
        <w:t xml:space="preserve"> </w:t>
      </w:r>
      <w:r>
        <w:t>Customer Behavior Theories</w:t>
      </w:r>
      <w:bookmarkEnd w:id="28"/>
    </w:p>
    <w:p w14:paraId="208C449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behavior theories offer critical insights into the motivations and decisions of customers, which are essential for understanding churn. The Expectancy Disconfirmation Theory suggests that customer satisfaction is influenced by the discrepancy between expected and actual service performance. When actual performance exceeds expectations, customers are satisfied and more likely to remain loyal; when it falls short, dissatisfaction can lead to churn (Oliver, 2019).</w:t>
      </w:r>
    </w:p>
    <w:p w14:paraId="40303FC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Theory of Planned Behavior explains that customer retention is influenced by attitudes towards the service, subjective norms, and perceived behavioral control. This theory highlights the importance of understanding customers' attitudes and social influences to predict their likelihood of remaining with a service (Ajzen, 1991). Furthermore, the Customer Loyalty Theory posits that factors such as trust, commitment, and satisfaction are crucial determinants of loyalty. Building strong, trust-based relationships with customers can significantly reduce churn rates (Dick and Basu, 1994).</w:t>
      </w:r>
    </w:p>
    <w:p w14:paraId="160B96D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Switching Costs Theory suggests that the perceived costs associated with switching to another provider, including financial, time, and psychological costs, influence churn behavior. High switching costs can act as a deterrent to churn, even when customers are not fully satisfied (Burnham, Frels, and Mahajan, 2003).</w:t>
      </w:r>
    </w:p>
    <w:p w14:paraId="55A6EFB4">
      <w:pPr>
        <w:pStyle w:val="3"/>
        <w:spacing w:line="360" w:lineRule="auto"/>
      </w:pPr>
      <w:bookmarkStart w:id="29" w:name="_Toc183163341"/>
      <w:r>
        <w:t>2.12.2</w:t>
      </w:r>
      <w:r>
        <w:rPr>
          <w:rFonts w:hint="default"/>
          <w:lang w:val="en-US"/>
        </w:rPr>
        <w:t xml:space="preserve"> </w:t>
      </w:r>
      <w:r>
        <w:t>Machine Learning Theories</w:t>
      </w:r>
      <w:bookmarkEnd w:id="29"/>
    </w:p>
    <w:p w14:paraId="0046A3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theories are essential for developing predictive models for churn. Supervised Learning Theory involves training models on labeled data to predict outcomes on new data, which is a common approach in churn prediction. Techniques such as decision trees, random forests, support vector machines (SVM), and neural networks are used to identify patterns in historical customer data that indicate a high risk of churn (Bishop, 2006).</w:t>
      </w:r>
    </w:p>
    <w:p w14:paraId="30F3DC2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Unsupervised Learning Theory is also relevant, particularly for clustering customers into segments based on their behavior patterns without predefined labels. This can help identify groups of customers with similar characteristics and churn risks (Hastie, Tibshirani, and Friedman, 2009). Reinforcement Learning Theory, which involves learning optimal strategies through interactions with the environment, can be applied to develop adaptive retention strategies that evolve based on customer behavior (Sutton and Barto, 2018).</w:t>
      </w:r>
    </w:p>
    <w:p w14:paraId="16517E7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Feature Selection and Engineering Theory emphasizes the importance of identifying the most relevant features from the data that contribute to accurate predictions. In churn prediction, features such as customer demographics, usage patterns, and billing information are critical. Effective feature selection enhances model performance by focusing on the most predictive variables (Guyon and Elisseeff, 2003).</w:t>
      </w:r>
    </w:p>
    <w:p w14:paraId="4F6D693B">
      <w:pPr>
        <w:pStyle w:val="3"/>
        <w:spacing w:line="360" w:lineRule="auto"/>
      </w:pPr>
      <w:bookmarkStart w:id="30" w:name="_Toc183163342"/>
      <w:r>
        <w:t>2.12.3</w:t>
      </w:r>
      <w:r>
        <w:rPr>
          <w:rFonts w:hint="default"/>
          <w:lang w:val="en-US"/>
        </w:rPr>
        <w:t xml:space="preserve"> </w:t>
      </w:r>
      <w:r>
        <w:t>Information Systems Theory</w:t>
      </w:r>
      <w:bookmarkEnd w:id="30"/>
    </w:p>
    <w:p w14:paraId="336AD9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Information Systems Theory provides a broader context for integrating and utilizing predictive models within organizations. The Technology Acceptance Model (TAM) explains the adoption of new technologies based on perceived ease of use and perceived usefulness. For churn prediction models, ensuring that these systems are user-friendly and demonstrate clear benefits is crucial for adoption by telecommunications companies (Davis, 1989).</w:t>
      </w:r>
    </w:p>
    <w:p w14:paraId="252C674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Decision Support Systems (DSS) Theory describes how information systems can support decision-making processes by providing timely, accurate, and relevant information. DSS can integrate churn prediction models to help managers develop targeted retention strategies and make informed decisions.</w:t>
      </w:r>
    </w:p>
    <w:p w14:paraId="338314E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Information Quality Theory emphasizes the importance of high-quality data for reliable predictions. Ensuring data accuracy, completeness, consistency, and timeliness is essential for effective churn prediction models (Wang and Strong, 1996). Robust data management practices are necessary to maintain the integrity and utility of predictive models in telecommunications.</w:t>
      </w:r>
    </w:p>
    <w:p w14:paraId="46C63417">
      <w:pPr>
        <w:pStyle w:val="3"/>
        <w:spacing w:line="360" w:lineRule="auto"/>
      </w:pPr>
      <w:bookmarkStart w:id="31" w:name="_Toc183163343"/>
      <w:r>
        <w:t>2.13</w:t>
      </w:r>
      <w:bookmarkStart w:id="32" w:name="_Hlk184217231"/>
      <w:r>
        <w:rPr>
          <w:rFonts w:hint="default"/>
          <w:lang w:val="en-US"/>
        </w:rPr>
        <w:tab/>
      </w:r>
      <w:r>
        <w:t xml:space="preserve">Summary of Related </w:t>
      </w:r>
      <w:r>
        <w:rPr>
          <w:lang w:val="en-US"/>
        </w:rPr>
        <w:t>Literature</w:t>
      </w:r>
      <w:bookmarkEnd w:id="31"/>
    </w:p>
    <w:bookmarkEnd w:id="32"/>
    <w:tbl>
      <w:tblPr>
        <w:tblStyle w:val="12"/>
        <w:tblW w:w="9490"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419"/>
        <w:gridCol w:w="1196"/>
        <w:gridCol w:w="1485"/>
        <w:gridCol w:w="1260"/>
        <w:gridCol w:w="1320"/>
        <w:gridCol w:w="1440"/>
        <w:gridCol w:w="1370"/>
      </w:tblGrid>
      <w:tr w14:paraId="620D2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3CC94374">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Author(s) &amp; Year</w:t>
            </w:r>
          </w:p>
        </w:tc>
        <w:tc>
          <w:tcPr>
            <w:tcW w:w="1166" w:type="dxa"/>
            <w:tcBorders>
              <w:tl2br w:val="nil"/>
              <w:tr2bl w:val="nil"/>
            </w:tcBorders>
            <w:shd w:val="clear" w:color="auto" w:fill="FFFFFF"/>
            <w:vAlign w:val="center"/>
          </w:tcPr>
          <w:p w14:paraId="102D7E9A">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Objectives</w:t>
            </w:r>
          </w:p>
        </w:tc>
        <w:tc>
          <w:tcPr>
            <w:tcW w:w="1455" w:type="dxa"/>
            <w:tcBorders>
              <w:tl2br w:val="nil"/>
              <w:tr2bl w:val="nil"/>
            </w:tcBorders>
            <w:shd w:val="clear" w:color="auto" w:fill="FFFFFF"/>
            <w:vAlign w:val="center"/>
          </w:tcPr>
          <w:p w14:paraId="3C5E9C08">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Methodology</w:t>
            </w:r>
          </w:p>
        </w:tc>
        <w:tc>
          <w:tcPr>
            <w:tcW w:w="1230" w:type="dxa"/>
            <w:tcBorders>
              <w:tl2br w:val="nil"/>
              <w:tr2bl w:val="nil"/>
            </w:tcBorders>
            <w:shd w:val="clear" w:color="auto" w:fill="FFFFFF"/>
            <w:vAlign w:val="center"/>
          </w:tcPr>
          <w:p w14:paraId="1494C0B1">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Results</w:t>
            </w:r>
          </w:p>
        </w:tc>
        <w:tc>
          <w:tcPr>
            <w:tcW w:w="1290" w:type="dxa"/>
            <w:tcBorders>
              <w:tl2br w:val="nil"/>
              <w:tr2bl w:val="nil"/>
            </w:tcBorders>
            <w:shd w:val="clear" w:color="auto" w:fill="FFFFFF"/>
            <w:vAlign w:val="center"/>
          </w:tcPr>
          <w:p w14:paraId="29B0FB5A">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Strengths</w:t>
            </w:r>
          </w:p>
        </w:tc>
        <w:tc>
          <w:tcPr>
            <w:tcW w:w="1410" w:type="dxa"/>
            <w:tcBorders>
              <w:tl2br w:val="nil"/>
              <w:tr2bl w:val="nil"/>
            </w:tcBorders>
            <w:shd w:val="clear" w:color="auto" w:fill="FFFFFF"/>
            <w:vAlign w:val="center"/>
          </w:tcPr>
          <w:p w14:paraId="05A77641">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Weaknesses</w:t>
            </w:r>
          </w:p>
        </w:tc>
        <w:tc>
          <w:tcPr>
            <w:tcW w:w="1325" w:type="dxa"/>
            <w:tcBorders>
              <w:tl2br w:val="nil"/>
              <w:tr2bl w:val="nil"/>
            </w:tcBorders>
            <w:shd w:val="clear" w:color="auto" w:fill="FFFFFF"/>
            <w:vAlign w:val="center"/>
          </w:tcPr>
          <w:p w14:paraId="047044D4">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Identified Gaps</w:t>
            </w:r>
          </w:p>
        </w:tc>
      </w:tr>
      <w:tr w14:paraId="30D3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2DE0F5EA">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Nguyen et al. (2020)</w:t>
            </w:r>
          </w:p>
        </w:tc>
        <w:tc>
          <w:tcPr>
            <w:tcW w:w="1166" w:type="dxa"/>
            <w:tcBorders>
              <w:tl2br w:val="nil"/>
              <w:tr2bl w:val="nil"/>
            </w:tcBorders>
            <w:shd w:val="clear" w:color="auto" w:fill="FFFFFF"/>
            <w:vAlign w:val="center"/>
          </w:tcPr>
          <w:p w14:paraId="2A46D346">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identify key predictors of customer churn in telecoms using machine learning.</w:t>
            </w:r>
          </w:p>
        </w:tc>
        <w:tc>
          <w:tcPr>
            <w:tcW w:w="1455" w:type="dxa"/>
            <w:tcBorders>
              <w:tl2br w:val="nil"/>
              <w:tr2bl w:val="nil"/>
            </w:tcBorders>
            <w:shd w:val="clear" w:color="auto" w:fill="FFFFFF"/>
            <w:vAlign w:val="center"/>
          </w:tcPr>
          <w:p w14:paraId="7A23DFEB">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Random Forest, Logistic Regression, and KNN on telecom data from Vietnam.</w:t>
            </w:r>
          </w:p>
        </w:tc>
        <w:tc>
          <w:tcPr>
            <w:tcW w:w="1230" w:type="dxa"/>
            <w:tcBorders>
              <w:tl2br w:val="nil"/>
              <w:tr2bl w:val="nil"/>
            </w:tcBorders>
            <w:shd w:val="clear" w:color="auto" w:fill="FFFFFF"/>
            <w:vAlign w:val="center"/>
          </w:tcPr>
          <w:p w14:paraId="4D52431D">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Random Forest achieved 80% accuracy, highlighting call duration and data usage as key churn predictors.</w:t>
            </w:r>
          </w:p>
        </w:tc>
        <w:tc>
          <w:tcPr>
            <w:tcW w:w="1290" w:type="dxa"/>
            <w:tcBorders>
              <w:tl2br w:val="nil"/>
              <w:tr2bl w:val="nil"/>
            </w:tcBorders>
            <w:shd w:val="clear" w:color="auto" w:fill="FFFFFF"/>
            <w:vAlign w:val="center"/>
          </w:tcPr>
          <w:p w14:paraId="67E59C6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Used diverse ML algorithms for comparison and validation.</w:t>
            </w:r>
          </w:p>
        </w:tc>
        <w:tc>
          <w:tcPr>
            <w:tcW w:w="1410" w:type="dxa"/>
            <w:tcBorders>
              <w:tl2br w:val="nil"/>
              <w:tr2bl w:val="nil"/>
            </w:tcBorders>
            <w:shd w:val="clear" w:color="auto" w:fill="FFFFFF"/>
            <w:vAlign w:val="center"/>
          </w:tcPr>
          <w:p w14:paraId="6EAE18B2">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Dataset limited to one telecom operator and specific geographic region.</w:t>
            </w:r>
          </w:p>
        </w:tc>
        <w:tc>
          <w:tcPr>
            <w:tcW w:w="1325" w:type="dxa"/>
            <w:tcBorders>
              <w:tl2br w:val="nil"/>
              <w:tr2bl w:val="nil"/>
            </w:tcBorders>
            <w:shd w:val="clear" w:color="auto" w:fill="FFFFFF"/>
            <w:vAlign w:val="center"/>
          </w:tcPr>
          <w:p w14:paraId="27F6597B">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Lack of analysis on socio-economic factors affecting churn.</w:t>
            </w:r>
          </w:p>
        </w:tc>
      </w:tr>
      <w:tr w14:paraId="3536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3C97A5AB">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Abdulkareem et al. (2019)</w:t>
            </w:r>
          </w:p>
        </w:tc>
        <w:tc>
          <w:tcPr>
            <w:tcW w:w="1166" w:type="dxa"/>
            <w:tcBorders>
              <w:tl2br w:val="nil"/>
              <w:tr2bl w:val="nil"/>
            </w:tcBorders>
            <w:shd w:val="clear" w:color="auto" w:fill="FFFFFF"/>
            <w:vAlign w:val="center"/>
          </w:tcPr>
          <w:p w14:paraId="20BB6F02">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analyze the impact of customer service on churn rates in Nigerian telecom industry.</w:t>
            </w:r>
          </w:p>
        </w:tc>
        <w:tc>
          <w:tcPr>
            <w:tcW w:w="1455" w:type="dxa"/>
            <w:tcBorders>
              <w:tl2br w:val="nil"/>
              <w:tr2bl w:val="nil"/>
            </w:tcBorders>
            <w:shd w:val="clear" w:color="auto" w:fill="FFFFFF"/>
            <w:vAlign w:val="center"/>
          </w:tcPr>
          <w:p w14:paraId="519E6A0E">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Survey-based analysis with 500 respondents from Lagos State.</w:t>
            </w:r>
          </w:p>
        </w:tc>
        <w:tc>
          <w:tcPr>
            <w:tcW w:w="1230" w:type="dxa"/>
            <w:tcBorders>
              <w:tl2br w:val="nil"/>
              <w:tr2bl w:val="nil"/>
            </w:tcBorders>
            <w:shd w:val="clear" w:color="auto" w:fill="FFFFFF"/>
            <w:vAlign w:val="center"/>
          </w:tcPr>
          <w:p w14:paraId="45577C1E">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Poor customer service was found to increase churn probability by 60%.</w:t>
            </w:r>
          </w:p>
        </w:tc>
        <w:tc>
          <w:tcPr>
            <w:tcW w:w="1290" w:type="dxa"/>
            <w:tcBorders>
              <w:tl2br w:val="nil"/>
              <w:tr2bl w:val="nil"/>
            </w:tcBorders>
            <w:shd w:val="clear" w:color="auto" w:fill="FFFFFF"/>
            <w:vAlign w:val="center"/>
          </w:tcPr>
          <w:p w14:paraId="48416D5B">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Real-world insights from customers.</w:t>
            </w:r>
          </w:p>
        </w:tc>
        <w:tc>
          <w:tcPr>
            <w:tcW w:w="1410" w:type="dxa"/>
            <w:tcBorders>
              <w:tl2br w:val="nil"/>
              <w:tr2bl w:val="nil"/>
            </w:tcBorders>
            <w:shd w:val="clear" w:color="auto" w:fill="FFFFFF"/>
            <w:vAlign w:val="center"/>
          </w:tcPr>
          <w:p w14:paraId="110D0976">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Limited sample size and subjective responses prone to bias.</w:t>
            </w:r>
          </w:p>
        </w:tc>
        <w:tc>
          <w:tcPr>
            <w:tcW w:w="1325" w:type="dxa"/>
            <w:tcBorders>
              <w:tl2br w:val="nil"/>
              <w:tr2bl w:val="nil"/>
            </w:tcBorders>
            <w:shd w:val="clear" w:color="auto" w:fill="FFFFFF"/>
            <w:vAlign w:val="center"/>
          </w:tcPr>
          <w:p w14:paraId="3C30BFB2">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No predictive models to validate findings quantitatively.</w:t>
            </w:r>
          </w:p>
        </w:tc>
      </w:tr>
      <w:tr w14:paraId="460E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15A05770">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Sharma &amp; Gupta (2018)</w:t>
            </w:r>
          </w:p>
        </w:tc>
        <w:tc>
          <w:tcPr>
            <w:tcW w:w="1166" w:type="dxa"/>
            <w:tcBorders>
              <w:tl2br w:val="nil"/>
              <w:tr2bl w:val="nil"/>
            </w:tcBorders>
            <w:shd w:val="clear" w:color="auto" w:fill="FFFFFF"/>
            <w:vAlign w:val="center"/>
          </w:tcPr>
          <w:p w14:paraId="43471238">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evaluate how prepaid and postpaid plans influence customer loyalty.</w:t>
            </w:r>
          </w:p>
        </w:tc>
        <w:tc>
          <w:tcPr>
            <w:tcW w:w="1455" w:type="dxa"/>
            <w:tcBorders>
              <w:tl2br w:val="nil"/>
              <w:tr2bl w:val="nil"/>
            </w:tcBorders>
            <w:shd w:val="clear" w:color="auto" w:fill="FFFFFF"/>
            <w:vAlign w:val="center"/>
          </w:tcPr>
          <w:p w14:paraId="1892C078">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Chi-square tests on billing data from 2 telecom providers in India.</w:t>
            </w:r>
          </w:p>
        </w:tc>
        <w:tc>
          <w:tcPr>
            <w:tcW w:w="1230" w:type="dxa"/>
            <w:tcBorders>
              <w:tl2br w:val="nil"/>
              <w:tr2bl w:val="nil"/>
            </w:tcBorders>
            <w:shd w:val="clear" w:color="auto" w:fill="FFFFFF"/>
            <w:vAlign w:val="center"/>
          </w:tcPr>
          <w:p w14:paraId="50EE7211">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Postpaid customers showed 30% higher retention rates than prepaid.</w:t>
            </w:r>
          </w:p>
        </w:tc>
        <w:tc>
          <w:tcPr>
            <w:tcW w:w="1290" w:type="dxa"/>
            <w:tcBorders>
              <w:tl2br w:val="nil"/>
              <w:tr2bl w:val="nil"/>
            </w:tcBorders>
            <w:shd w:val="clear" w:color="auto" w:fill="FFFFFF"/>
            <w:vAlign w:val="center"/>
          </w:tcPr>
          <w:p w14:paraId="669AD209">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Clear segmentation of subscribers by plan type.</w:t>
            </w:r>
          </w:p>
        </w:tc>
        <w:tc>
          <w:tcPr>
            <w:tcW w:w="1410" w:type="dxa"/>
            <w:tcBorders>
              <w:tl2br w:val="nil"/>
              <w:tr2bl w:val="nil"/>
            </w:tcBorders>
            <w:shd w:val="clear" w:color="auto" w:fill="FFFFFF"/>
            <w:vAlign w:val="center"/>
          </w:tcPr>
          <w:p w14:paraId="5C7897A2">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Did not consider demographic or service usage variables.</w:t>
            </w:r>
          </w:p>
        </w:tc>
        <w:tc>
          <w:tcPr>
            <w:tcW w:w="1325" w:type="dxa"/>
            <w:tcBorders>
              <w:tl2br w:val="nil"/>
              <w:tr2bl w:val="nil"/>
            </w:tcBorders>
            <w:shd w:val="clear" w:color="auto" w:fill="FFFFFF"/>
            <w:vAlign w:val="center"/>
          </w:tcPr>
          <w:p w14:paraId="195DFF11">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No machine learning analysis to predict churn.</w:t>
            </w:r>
          </w:p>
        </w:tc>
      </w:tr>
      <w:tr w14:paraId="2A742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43E074ED">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Oladipo et al. (2021)</w:t>
            </w:r>
          </w:p>
        </w:tc>
        <w:tc>
          <w:tcPr>
            <w:tcW w:w="1166" w:type="dxa"/>
            <w:tcBorders>
              <w:tl2br w:val="nil"/>
              <w:tr2bl w:val="nil"/>
            </w:tcBorders>
            <w:shd w:val="clear" w:color="auto" w:fill="FFFFFF"/>
            <w:vAlign w:val="center"/>
          </w:tcPr>
          <w:p w14:paraId="14F2872F">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assess the role of data quality on churn prediction models.</w:t>
            </w:r>
          </w:p>
        </w:tc>
        <w:tc>
          <w:tcPr>
            <w:tcW w:w="1455" w:type="dxa"/>
            <w:tcBorders>
              <w:tl2br w:val="nil"/>
              <w:tr2bl w:val="nil"/>
            </w:tcBorders>
            <w:shd w:val="clear" w:color="auto" w:fill="FFFFFF"/>
            <w:vAlign w:val="center"/>
          </w:tcPr>
          <w:p w14:paraId="3738DCCF">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Data preprocessing techniques and Logistic Regression on Nigerian telecom datasets.</w:t>
            </w:r>
          </w:p>
        </w:tc>
        <w:tc>
          <w:tcPr>
            <w:tcW w:w="1230" w:type="dxa"/>
            <w:tcBorders>
              <w:tl2br w:val="nil"/>
              <w:tr2bl w:val="nil"/>
            </w:tcBorders>
            <w:shd w:val="clear" w:color="auto" w:fill="FFFFFF"/>
            <w:vAlign w:val="center"/>
          </w:tcPr>
          <w:p w14:paraId="1B7BB6A9">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Improved data cleaning enhanced model accuracy from 72% to 78%.</w:t>
            </w:r>
          </w:p>
        </w:tc>
        <w:tc>
          <w:tcPr>
            <w:tcW w:w="1290" w:type="dxa"/>
            <w:tcBorders>
              <w:tl2br w:val="nil"/>
              <w:tr2bl w:val="nil"/>
            </w:tcBorders>
            <w:shd w:val="clear" w:color="auto" w:fill="FFFFFF"/>
            <w:vAlign w:val="center"/>
          </w:tcPr>
          <w:p w14:paraId="741B337A">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Demonstrated importance of data quality for model reliability.</w:t>
            </w:r>
          </w:p>
        </w:tc>
        <w:tc>
          <w:tcPr>
            <w:tcW w:w="1410" w:type="dxa"/>
            <w:tcBorders>
              <w:tl2br w:val="nil"/>
              <w:tr2bl w:val="nil"/>
            </w:tcBorders>
            <w:shd w:val="clear" w:color="auto" w:fill="FFFFFF"/>
            <w:vAlign w:val="center"/>
          </w:tcPr>
          <w:p w14:paraId="5292D77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Limited focus on feature engineering or other ML techniques.</w:t>
            </w:r>
          </w:p>
        </w:tc>
        <w:tc>
          <w:tcPr>
            <w:tcW w:w="1325" w:type="dxa"/>
            <w:tcBorders>
              <w:tl2br w:val="nil"/>
              <w:tr2bl w:val="nil"/>
            </w:tcBorders>
            <w:shd w:val="clear" w:color="auto" w:fill="FFFFFF"/>
            <w:vAlign w:val="center"/>
          </w:tcPr>
          <w:p w14:paraId="6660CBB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No exploration of advanced ML models like Random Forest or Neural Networks.</w:t>
            </w:r>
          </w:p>
        </w:tc>
      </w:tr>
      <w:tr w14:paraId="7685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447D989A">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Chen et al. (2020)</w:t>
            </w:r>
          </w:p>
        </w:tc>
        <w:tc>
          <w:tcPr>
            <w:tcW w:w="1166" w:type="dxa"/>
            <w:tcBorders>
              <w:tl2br w:val="nil"/>
              <w:tr2bl w:val="nil"/>
            </w:tcBorders>
            <w:shd w:val="clear" w:color="auto" w:fill="FFFFFF"/>
            <w:vAlign w:val="center"/>
          </w:tcPr>
          <w:p w14:paraId="2154226A">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improve churn prediction accuracy through ensemble learning.</w:t>
            </w:r>
          </w:p>
        </w:tc>
        <w:tc>
          <w:tcPr>
            <w:tcW w:w="1455" w:type="dxa"/>
            <w:tcBorders>
              <w:tl2br w:val="nil"/>
              <w:tr2bl w:val="nil"/>
            </w:tcBorders>
            <w:shd w:val="clear" w:color="auto" w:fill="FFFFFF"/>
            <w:vAlign w:val="center"/>
          </w:tcPr>
          <w:p w14:paraId="33B90783">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Used Gradient Boosting and AdaBoost on telecom data.</w:t>
            </w:r>
          </w:p>
        </w:tc>
        <w:tc>
          <w:tcPr>
            <w:tcW w:w="1230" w:type="dxa"/>
            <w:tcBorders>
              <w:tl2br w:val="nil"/>
              <w:tr2bl w:val="nil"/>
            </w:tcBorders>
            <w:shd w:val="clear" w:color="auto" w:fill="FFFFFF"/>
            <w:vAlign w:val="center"/>
          </w:tcPr>
          <w:p w14:paraId="5C61FF9C">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Ensemble methods achieved 85% accuracy, outperforming single algorithms.</w:t>
            </w:r>
          </w:p>
        </w:tc>
        <w:tc>
          <w:tcPr>
            <w:tcW w:w="1290" w:type="dxa"/>
            <w:tcBorders>
              <w:tl2br w:val="nil"/>
              <w:tr2bl w:val="nil"/>
            </w:tcBorders>
            <w:shd w:val="clear" w:color="auto" w:fill="FFFFFF"/>
            <w:vAlign w:val="center"/>
          </w:tcPr>
          <w:p w14:paraId="3697E76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Innovative use of ensemble techniques.</w:t>
            </w:r>
          </w:p>
        </w:tc>
        <w:tc>
          <w:tcPr>
            <w:tcW w:w="1410" w:type="dxa"/>
            <w:tcBorders>
              <w:tl2br w:val="nil"/>
              <w:tr2bl w:val="nil"/>
            </w:tcBorders>
            <w:shd w:val="clear" w:color="auto" w:fill="FFFFFF"/>
            <w:vAlign w:val="center"/>
          </w:tcPr>
          <w:p w14:paraId="7C952B3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Computational complexity and lack of real-world application testing.</w:t>
            </w:r>
          </w:p>
        </w:tc>
        <w:tc>
          <w:tcPr>
            <w:tcW w:w="1325" w:type="dxa"/>
            <w:tcBorders>
              <w:tl2br w:val="nil"/>
              <w:tr2bl w:val="nil"/>
            </w:tcBorders>
            <w:shd w:val="clear" w:color="auto" w:fill="FFFFFF"/>
            <w:vAlign w:val="center"/>
          </w:tcPr>
          <w:p w14:paraId="01A6C94D">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Did not test model generalizability across different markets.</w:t>
            </w:r>
          </w:p>
        </w:tc>
      </w:tr>
    </w:tbl>
    <w:p w14:paraId="7141C839">
      <w:pPr>
        <w:pStyle w:val="5"/>
        <w:bidi w:val="0"/>
        <w:spacing w:line="360" w:lineRule="auto"/>
        <w:jc w:val="center"/>
        <w:rPr>
          <w:rFonts w:ascii="Times New Roman" w:hAnsi="Times New Roman" w:cs="Times New Roman"/>
          <w:b/>
          <w:bCs/>
          <w:szCs w:val="24"/>
        </w:rPr>
      </w:pPr>
      <w:r>
        <w:rPr>
          <w:rFonts w:hint="default"/>
          <w:lang w:val="en-US"/>
        </w:rPr>
        <w:t xml:space="preserve">Table 2.13 </w:t>
      </w:r>
      <w:r>
        <w:t>Conclusion and Gaps for Current Study</w:t>
      </w:r>
    </w:p>
    <w:p w14:paraId="03AB305E">
      <w:pPr>
        <w:numPr>
          <w:ilvl w:val="0"/>
          <w:numId w:val="7"/>
        </w:numPr>
        <w:spacing w:line="360" w:lineRule="auto"/>
        <w:rPr>
          <w:rFonts w:ascii="Times New Roman" w:hAnsi="Times New Roman" w:cs="Times New Roman"/>
          <w:sz w:val="24"/>
          <w:szCs w:val="24"/>
        </w:rPr>
      </w:pPr>
      <w:r>
        <w:rPr>
          <w:rFonts w:ascii="Times New Roman" w:hAnsi="Times New Roman" w:cs="Times New Roman"/>
          <w:b/>
          <w:bCs/>
          <w:sz w:val="24"/>
          <w:szCs w:val="24"/>
        </w:rPr>
        <w:t>Predictive Model Scope:</w:t>
      </w:r>
      <w:r>
        <w:rPr>
          <w:rFonts w:ascii="Times New Roman" w:hAnsi="Times New Roman" w:cs="Times New Roman"/>
          <w:sz w:val="24"/>
          <w:szCs w:val="24"/>
        </w:rPr>
        <w:t xml:space="preserve"> Previous studies either relied on basic machine learning algorithms or lacked comparison across models, leaving room for advanced methods like Random Forest and XGBoost in a Nigerian context.</w:t>
      </w:r>
    </w:p>
    <w:p w14:paraId="596B2ACA">
      <w:pPr>
        <w:numPr>
          <w:ilvl w:val="0"/>
          <w:numId w:val="7"/>
        </w:numPr>
        <w:spacing w:line="360" w:lineRule="auto"/>
        <w:rPr>
          <w:rFonts w:ascii="Times New Roman" w:hAnsi="Times New Roman" w:cs="Times New Roman"/>
          <w:sz w:val="24"/>
          <w:szCs w:val="24"/>
        </w:rPr>
      </w:pPr>
      <w:r>
        <w:rPr>
          <w:rFonts w:ascii="Times New Roman" w:hAnsi="Times New Roman" w:cs="Times New Roman"/>
          <w:b/>
          <w:bCs/>
          <w:sz w:val="24"/>
          <w:szCs w:val="24"/>
        </w:rPr>
        <w:t>Data Generalizability:</w:t>
      </w:r>
      <w:r>
        <w:rPr>
          <w:rFonts w:ascii="Times New Roman" w:hAnsi="Times New Roman" w:cs="Times New Roman"/>
          <w:sz w:val="24"/>
          <w:szCs w:val="24"/>
        </w:rPr>
        <w:t xml:space="preserve"> Most studies were limited to single operators or specific regions, reducing the generalizability of results.</w:t>
      </w:r>
    </w:p>
    <w:p w14:paraId="7F555A66">
      <w:pPr>
        <w:numPr>
          <w:ilvl w:val="0"/>
          <w:numId w:val="7"/>
        </w:numPr>
        <w:spacing w:line="360" w:lineRule="auto"/>
        <w:rPr>
          <w:rFonts w:ascii="Times New Roman" w:hAnsi="Times New Roman" w:cs="Times New Roman"/>
          <w:sz w:val="24"/>
          <w:szCs w:val="24"/>
        </w:rPr>
      </w:pPr>
      <w:r>
        <w:rPr>
          <w:rFonts w:ascii="Times New Roman" w:hAnsi="Times New Roman" w:cs="Times New Roman"/>
          <w:b/>
          <w:bCs/>
          <w:sz w:val="24"/>
          <w:szCs w:val="24"/>
        </w:rPr>
        <w:t>Influential Factors:</w:t>
      </w:r>
      <w:r>
        <w:rPr>
          <w:rFonts w:ascii="Times New Roman" w:hAnsi="Times New Roman" w:cs="Times New Roman"/>
          <w:sz w:val="24"/>
          <w:szCs w:val="24"/>
        </w:rPr>
        <w:t xml:space="preserve"> Socio-economic and behavioral factors are often underexplored in the Nigerian telecom sector.</w:t>
      </w:r>
    </w:p>
    <w:p w14:paraId="087A0527">
      <w:pPr>
        <w:numPr>
          <w:ilvl w:val="0"/>
          <w:numId w:val="7"/>
        </w:numPr>
        <w:spacing w:line="360" w:lineRule="auto"/>
        <w:rPr>
          <w:rFonts w:ascii="Times New Roman" w:hAnsi="Times New Roman" w:cs="Times New Roman"/>
          <w:sz w:val="24"/>
          <w:szCs w:val="24"/>
        </w:rPr>
      </w:pPr>
      <w:r>
        <w:rPr>
          <w:rFonts w:ascii="Times New Roman" w:hAnsi="Times New Roman" w:cs="Times New Roman"/>
          <w:b/>
          <w:bCs/>
          <w:sz w:val="24"/>
          <w:szCs w:val="24"/>
        </w:rPr>
        <w:t>Performance Evaluation Metrics:</w:t>
      </w:r>
      <w:r>
        <w:rPr>
          <w:rFonts w:ascii="Times New Roman" w:hAnsi="Times New Roman" w:cs="Times New Roman"/>
          <w:sz w:val="24"/>
          <w:szCs w:val="24"/>
        </w:rPr>
        <w:t xml:space="preserve"> Few studies comprehensively evaluated models using multiple metrics (accuracy, precision, recall, F1 score, etc.).</w:t>
      </w:r>
    </w:p>
    <w:p w14:paraId="4C2453A7">
      <w:pPr>
        <w:spacing w:line="360" w:lineRule="auto"/>
        <w:rPr>
          <w:rFonts w:ascii="Times New Roman" w:hAnsi="Times New Roman" w:cs="Times New Roman"/>
          <w:sz w:val="24"/>
          <w:szCs w:val="24"/>
        </w:rPr>
      </w:pPr>
      <w:r>
        <w:rPr>
          <w:rFonts w:ascii="Times New Roman" w:hAnsi="Times New Roman" w:cs="Times New Roman"/>
          <w:sz w:val="24"/>
          <w:szCs w:val="24"/>
        </w:rPr>
        <w:t>These gaps justify the need for this study to employ robust machine learning models, evaluate them comprehensively, and focus on a broader dataset encompassing MTN and Airtel to provide actionable insights for the Nigerian telecom industry.</w:t>
      </w:r>
    </w:p>
    <w:p w14:paraId="45F71A15">
      <w:pPr>
        <w:pStyle w:val="2"/>
        <w:spacing w:line="360" w:lineRule="auto"/>
        <w:jc w:val="both"/>
        <w:rPr>
          <w:rFonts w:cs="Times New Roman"/>
          <w:szCs w:val="24"/>
        </w:rPr>
      </w:pPr>
      <w:bookmarkStart w:id="33" w:name="_Toc183163344"/>
      <w:r>
        <w:rPr>
          <w:rFonts w:cs="Times New Roman"/>
          <w:szCs w:val="24"/>
        </w:rPr>
        <w:t>CHAPTER THREE</w:t>
      </w:r>
      <w:bookmarkEnd w:id="33"/>
    </w:p>
    <w:p w14:paraId="33B080FB">
      <w:pPr>
        <w:pStyle w:val="2"/>
        <w:spacing w:line="360" w:lineRule="auto"/>
        <w:ind w:firstLine="0" w:firstLineChars="0"/>
        <w:jc w:val="both"/>
        <w:rPr>
          <w:rFonts w:hint="default" w:cs="Times New Roman"/>
          <w:szCs w:val="24"/>
          <w:lang w:val="en-US"/>
        </w:rPr>
      </w:pPr>
      <w:r>
        <w:rPr>
          <w:rFonts w:hint="default" w:cs="Times New Roman"/>
          <w:szCs w:val="24"/>
          <w:lang w:val="en-US"/>
        </w:rPr>
        <w:t>SYSTEM ANALYSIS AND DESIGN METHODOLOGY</w:t>
      </w:r>
    </w:p>
    <w:p w14:paraId="1550DF80">
      <w:pPr>
        <w:pStyle w:val="3"/>
        <w:spacing w:line="360" w:lineRule="auto"/>
        <w:rPr>
          <w:rFonts w:hint="default"/>
          <w:lang w:val="en-US"/>
        </w:rPr>
      </w:pPr>
      <w:bookmarkStart w:id="34" w:name="_Toc183163346"/>
      <w:r>
        <w:t>3.</w:t>
      </w:r>
      <w:r>
        <w:rPr>
          <w:rFonts w:hint="default"/>
          <w:lang w:val="en-US"/>
        </w:rPr>
        <w:t>1</w:t>
      </w:r>
      <w:bookmarkEnd w:id="34"/>
      <w:r>
        <w:rPr>
          <w:rFonts w:hint="default"/>
          <w:lang w:val="en-US"/>
        </w:rPr>
        <w:tab/>
      </w:r>
      <w:r>
        <w:rPr>
          <w:rFonts w:hint="default"/>
          <w:lang w:val="en-US"/>
        </w:rPr>
        <w:t>Chapter Overview</w:t>
      </w:r>
    </w:p>
    <w:p w14:paraId="5A9ADB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methodology chapter outlines the systematic approach adopted for predicting customer churn in the telecommunications industry using machine learning models. This chapter provides a comprehensive overview of the research design, data collection methods, data preprocessing steps, feature selection and engineering techniques, development of machine learning models, model training and evaluation procedures, and the comparison of models. </w:t>
      </w:r>
    </w:p>
    <w:p w14:paraId="01E20CEC">
      <w:pPr>
        <w:pStyle w:val="3"/>
        <w:spacing w:line="360" w:lineRule="auto"/>
      </w:pPr>
      <w:bookmarkStart w:id="35" w:name="_Toc183163347"/>
      <w:r>
        <w:t>3.</w:t>
      </w:r>
      <w:r>
        <w:rPr>
          <w:rFonts w:hint="default"/>
          <w:lang w:val="en-US"/>
        </w:rPr>
        <w:t>2</w:t>
      </w:r>
      <w:r>
        <w:rPr>
          <w:rFonts w:hint="default"/>
          <w:lang w:val="en-US"/>
        </w:rPr>
        <w:tab/>
      </w:r>
      <w:r>
        <w:t>Research Design</w:t>
      </w:r>
      <w:bookmarkEnd w:id="35"/>
    </w:p>
    <w:p w14:paraId="58165F0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study employs a descriptive and explanatory research design. The descriptive aspect aims to quantify the extent of customer churn in the telecommunications industry by analyzing historical churn data (Abreu et al.,2016). The explanatory component seeks to understand the underlying factors influencing churn through predictive modeling, which helps in identifying patterns and factors associated with customer attrition. This dual approach allows for a comprehensive analysis, providing actionable insights that telecommunications companies can leverage to reduce churn rates and enhance customer retention.</w:t>
      </w:r>
    </w:p>
    <w:p w14:paraId="6D493ABB">
      <w:pPr>
        <w:pStyle w:val="3"/>
        <w:bidi w:val="0"/>
        <w:spacing w:line="360" w:lineRule="auto"/>
        <w:rPr>
          <w:rFonts w:hint="default"/>
          <w:color w:val="auto"/>
          <w:lang w:val="en-US"/>
        </w:rPr>
      </w:pPr>
      <w:bookmarkStart w:id="36" w:name="_Toc183163348"/>
      <w:r>
        <w:t>3.</w:t>
      </w:r>
      <w:r>
        <w:rPr>
          <w:rFonts w:hint="default"/>
          <w:lang w:val="en-US"/>
        </w:rPr>
        <w:t>3</w:t>
      </w:r>
      <w:r>
        <w:rPr>
          <w:rFonts w:hint="default"/>
          <w:lang w:val="en-US"/>
        </w:rPr>
        <w:tab/>
      </w:r>
      <w:r>
        <w:t>Proposed System Design</w:t>
      </w:r>
      <w:bookmarkEnd w:id="36"/>
      <w:r>
        <w:rPr>
          <w:rFonts w:hint="default"/>
          <w:lang w:val="en-US"/>
        </w:rPr>
        <w:t xml:space="preserve"> Methodology</w:t>
      </w:r>
    </w:p>
    <w:p w14:paraId="2D5F13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proposed framework for customer churn prediction in Nigeria’s telecommunications industry using machine learning models is shown in Figure 3.1. The framework follows a structured architecture with the following key components:</w:t>
      </w:r>
    </w:p>
    <w:p w14:paraId="338CCFB4">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Collection</w:t>
      </w:r>
      <w:r>
        <w:rPr>
          <w:rFonts w:ascii="Times New Roman" w:hAnsi="Times New Roman" w:cs="Times New Roman"/>
          <w:sz w:val="24"/>
          <w:szCs w:val="24"/>
        </w:rPr>
        <w:t>: Gathers customer data (demographics, usage, billing) from MTN and Airtel.</w:t>
      </w:r>
    </w:p>
    <w:p w14:paraId="3C090D59">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Preprocessing</w:t>
      </w:r>
      <w:r>
        <w:rPr>
          <w:rFonts w:ascii="Times New Roman" w:hAnsi="Times New Roman" w:cs="Times New Roman"/>
          <w:sz w:val="24"/>
          <w:szCs w:val="24"/>
        </w:rPr>
        <w:t>: Cleans and transforms raw data, handles missing values, encodes categorical variables, and normalizes numerical features.</w:t>
      </w:r>
    </w:p>
    <w:p w14:paraId="4251EAD2">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Feature Selection</w:t>
      </w:r>
      <w:r>
        <w:rPr>
          <w:rFonts w:ascii="Times New Roman" w:hAnsi="Times New Roman" w:cs="Times New Roman"/>
          <w:sz w:val="24"/>
          <w:szCs w:val="24"/>
        </w:rPr>
        <w:t>: Identifies the most important variables (e.g., customer tenure, spending patterns) using techniques like correlation analysis.</w:t>
      </w:r>
    </w:p>
    <w:p w14:paraId="5BAA4BCF">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Model Training</w:t>
      </w:r>
      <w:r>
        <w:rPr>
          <w:rFonts w:ascii="Times New Roman" w:hAnsi="Times New Roman" w:cs="Times New Roman"/>
          <w:sz w:val="24"/>
          <w:szCs w:val="24"/>
        </w:rPr>
        <w:t>: Utilizes multiple machine learning models, including Decision Tree, Random Forest, XGBoost, and SVM, trained on 80% of the data.</w:t>
      </w:r>
    </w:p>
    <w:p w14:paraId="2F2B3604">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Model Evaluation</w:t>
      </w:r>
      <w:r>
        <w:rPr>
          <w:rFonts w:ascii="Times New Roman" w:hAnsi="Times New Roman" w:cs="Times New Roman"/>
          <w:sz w:val="24"/>
          <w:szCs w:val="24"/>
        </w:rPr>
        <w:t>: Assesses model performance using metrics like accuracy, precision, recall, and F1-score with the remaining 20% of data.</w:t>
      </w:r>
    </w:p>
    <w:p w14:paraId="27C40DEC">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Churn Prediction</w:t>
      </w:r>
      <w:r>
        <w:rPr>
          <w:rFonts w:ascii="Times New Roman" w:hAnsi="Times New Roman" w:cs="Times New Roman"/>
          <w:sz w:val="24"/>
          <w:szCs w:val="24"/>
        </w:rPr>
        <w:t>: Predicts customer churn probability for real-time decision-making.</w:t>
      </w:r>
    </w:p>
    <w:p w14:paraId="2756E1BD">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Retention Strategy</w:t>
      </w:r>
      <w:r>
        <w:rPr>
          <w:rFonts w:ascii="Times New Roman" w:hAnsi="Times New Roman" w:cs="Times New Roman"/>
          <w:sz w:val="24"/>
          <w:szCs w:val="24"/>
        </w:rPr>
        <w:t>: Provides actionable insights to reduce churn, such as personalized offers or improved customer service.</w:t>
      </w:r>
      <w:r>
        <w:t xml:space="preserve"> </w:t>
      </w:r>
    </w:p>
    <w:p w14:paraId="4B1EE2AE">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Feedback Loop</w:t>
      </w:r>
      <w:r>
        <w:rPr>
          <w:rFonts w:ascii="Times New Roman" w:hAnsi="Times New Roman" w:cs="Times New Roman"/>
          <w:sz w:val="24"/>
          <w:szCs w:val="24"/>
        </w:rPr>
        <w:t>: Continuously refines models with new data for improved accuracy.</w:t>
      </w:r>
    </w:p>
    <w:p w14:paraId="7AEB10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architecture integrates data preprocessing, machine learning, and actionable retention strategies to effectively predict and reduce customer churn.</w:t>
      </w:r>
    </w:p>
    <w:p w14:paraId="7001BFF2">
      <w:pPr>
        <w:spacing w:after="0" w:line="360" w:lineRule="auto"/>
        <w:jc w:val="both"/>
        <w:rPr>
          <w:rFonts w:ascii="Times New Roman" w:hAnsi="Times New Roman" w:cs="Times New Roman"/>
          <w:sz w:val="24"/>
          <w:szCs w:val="24"/>
        </w:rPr>
      </w:pPr>
    </w:p>
    <w:p w14:paraId="31002400">
      <w:pPr>
        <w:spacing w:after="0" w:line="360" w:lineRule="auto"/>
        <w:jc w:val="both"/>
        <w:rPr>
          <w:rFonts w:ascii="Times New Roman" w:hAnsi="Times New Roman" w:cs="Times New Roman"/>
          <w:sz w:val="24"/>
          <w:szCs w:val="24"/>
        </w:rPr>
      </w:pPr>
    </w:p>
    <w:p w14:paraId="7EE42C58">
      <w:pPr>
        <w:spacing w:after="0" w:line="360" w:lineRule="auto"/>
        <w:jc w:val="both"/>
        <w:rPr>
          <w:rFonts w:ascii="Times New Roman" w:hAnsi="Times New Roman" w:cs="Times New Roman"/>
          <w:sz w:val="24"/>
          <w:szCs w:val="24"/>
        </w:rPr>
      </w:pPr>
    </w:p>
    <w:p w14:paraId="26F5BE53">
      <w:pPr>
        <w:spacing w:after="0" w:line="360" w:lineRule="auto"/>
        <w:jc w:val="both"/>
        <w:rPr>
          <w:rFonts w:ascii="Times New Roman" w:hAnsi="Times New Roman" w:cs="Times New Roman"/>
          <w:sz w:val="24"/>
          <w:szCs w:val="24"/>
        </w:rPr>
      </w:pPr>
      <w:r>
        <w:rPr>
          <w:rFonts w:ascii="Times New Roman" w:hAnsi="Times New Roman" w:cs="Times New Roman"/>
          <w:sz w:val="24"/>
          <w:szCs w:val="24"/>
          <w14:ligatures w14:val="standardContextual"/>
        </w:rPr>
        <mc:AlternateContent>
          <mc:Choice Requires="wpg">
            <w:drawing>
              <wp:anchor distT="0" distB="0" distL="114300" distR="114300" simplePos="0" relativeHeight="251659264" behindDoc="0" locked="0" layoutInCell="1" allowOverlap="1">
                <wp:simplePos x="0" y="0"/>
                <wp:positionH relativeFrom="column">
                  <wp:posOffset>180975</wp:posOffset>
                </wp:positionH>
                <wp:positionV relativeFrom="paragraph">
                  <wp:posOffset>132715</wp:posOffset>
                </wp:positionV>
                <wp:extent cx="5343525" cy="3895725"/>
                <wp:effectExtent l="0" t="0" r="28575" b="28575"/>
                <wp:wrapNone/>
                <wp:docPr id="1631119665" name="Group 45"/>
                <wp:cNvGraphicFramePr/>
                <a:graphic xmlns:a="http://schemas.openxmlformats.org/drawingml/2006/main">
                  <a:graphicData uri="http://schemas.microsoft.com/office/word/2010/wordprocessingGroup">
                    <wpg:wgp>
                      <wpg:cNvGrpSpPr/>
                      <wpg:grpSpPr>
                        <a:xfrm>
                          <a:off x="0" y="0"/>
                          <a:ext cx="5343525" cy="3895725"/>
                          <a:chOff x="0" y="0"/>
                          <a:chExt cx="5343525" cy="3895725"/>
                        </a:xfrm>
                      </wpg:grpSpPr>
                      <wps:wsp>
                        <wps:cNvPr id="1350662170" name="Straight Connector 29"/>
                        <wps:cNvCnPr/>
                        <wps:spPr>
                          <a:xfrm>
                            <a:off x="619125" y="3543300"/>
                            <a:ext cx="1336040" cy="13335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165666387" name="Group 44"/>
                        <wpg:cNvGrpSpPr/>
                        <wpg:grpSpPr>
                          <a:xfrm>
                            <a:off x="0" y="0"/>
                            <a:ext cx="5343525" cy="3895725"/>
                            <a:chOff x="0" y="0"/>
                            <a:chExt cx="5343525" cy="3895725"/>
                          </a:xfrm>
                        </wpg:grpSpPr>
                        <wpg:grpSp>
                          <wpg:cNvPr id="218324808" name="Group 39"/>
                          <wpg:cNvGrpSpPr/>
                          <wpg:grpSpPr>
                            <a:xfrm>
                              <a:off x="0" y="0"/>
                              <a:ext cx="5343525" cy="3895725"/>
                              <a:chOff x="0" y="0"/>
                              <a:chExt cx="5343525" cy="3895725"/>
                            </a:xfrm>
                          </wpg:grpSpPr>
                          <wps:wsp>
                            <wps:cNvPr id="833405232" name="Cylinder 2"/>
                            <wps:cNvSpPr/>
                            <wps:spPr>
                              <a:xfrm>
                                <a:off x="95250" y="38100"/>
                                <a:ext cx="962025" cy="1057275"/>
                              </a:xfrm>
                              <a:prstGeom prst="can">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FB1B88">
                                  <w:pPr>
                                    <w:jc w:val="center"/>
                                  </w:pPr>
                                  <w:r>
                                    <w:t>Telecom Customers Data Profile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5483738" name="Text Box 3"/>
                            <wps:cNvSpPr txBox="1"/>
                            <wps:spPr>
                              <a:xfrm>
                                <a:off x="0" y="1352550"/>
                                <a:ext cx="1323975" cy="1047750"/>
                              </a:xfrm>
                              <a:prstGeom prst="rect">
                                <a:avLst/>
                              </a:prstGeom>
                              <a:solidFill>
                                <a:schemeClr val="lt1"/>
                              </a:solidFill>
                              <a:ln w="6350">
                                <a:noFill/>
                              </a:ln>
                            </wps:spPr>
                            <wps:txbx>
                              <w:txbxContent>
                                <w:p w14:paraId="4877BF42">
                                  <w:r>
                                    <w:drawing>
                                      <wp:inline distT="0" distB="0" distL="0" distR="0">
                                        <wp:extent cx="1085215" cy="904875"/>
                                        <wp:effectExtent l="0" t="0" r="635" b="0"/>
                                        <wp:docPr id="20881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0334" name="Picture 1"/>
                                                <pic:cNvPicPr>
                                                  <a:picLocks noChangeAspect="1"/>
                                                </pic:cNvPicPr>
                                              </pic:nvPicPr>
                                              <pic:blipFill>
                                                <a:blip r:embed="rId7"/>
                                                <a:stretch>
                                                  <a:fillRect/>
                                                </a:stretch>
                                              </pic:blipFill>
                                              <pic:spPr>
                                                <a:xfrm>
                                                  <a:off x="0" y="0"/>
                                                  <a:ext cx="1090708" cy="9093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37696506" name="Straight Arrow Connector 4"/>
                            <wps:cNvCnPr/>
                            <wps:spPr>
                              <a:xfrm flipV="1">
                                <a:off x="581025" y="1114425"/>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94366257" name="Text Box 6"/>
                            <wps:cNvSpPr txBox="1"/>
                            <wps:spPr>
                              <a:xfrm>
                                <a:off x="1695450" y="0"/>
                                <a:ext cx="1609725" cy="1800225"/>
                              </a:xfrm>
                              <a:prstGeom prst="rect">
                                <a:avLst/>
                              </a:prstGeom>
                              <a:solidFill>
                                <a:schemeClr val="lt1"/>
                              </a:solidFill>
                              <a:ln w="6350">
                                <a:solidFill>
                                  <a:prstClr val="black"/>
                                </a:solidFill>
                              </a:ln>
                            </wps:spPr>
                            <wps:txbx>
                              <w:txbxContent>
                                <w:p w14:paraId="1F207F25">
                                  <w:pPr>
                                    <w:jc w:val="center"/>
                                    <w:rPr>
                                      <w:rFonts w:ascii="Times New Roman" w:hAnsi="Times New Roman" w:cs="Times New Roman"/>
                                      <w:b/>
                                      <w:bCs/>
                                      <w:sz w:val="24"/>
                                      <w:szCs w:val="24"/>
                                    </w:rPr>
                                  </w:pPr>
                                  <w:r>
                                    <w:rPr>
                                      <w:rFonts w:ascii="Times New Roman" w:hAnsi="Times New Roman" w:cs="Times New Roman"/>
                                      <w:b/>
                                      <w:bCs/>
                                      <w:sz w:val="24"/>
                                      <w:szCs w:val="24"/>
                                    </w:rPr>
                                    <w:t>Data Preprocessing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0039954" name="Rectangle 7"/>
                            <wps:cNvSpPr/>
                            <wps:spPr>
                              <a:xfrm>
                                <a:off x="1752600" y="352425"/>
                                <a:ext cx="1343025" cy="3714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4A6C7E">
                                  <w:pPr>
                                    <w:jc w:val="center"/>
                                  </w:pPr>
                                  <w:r>
                                    <w:t>Data Cleaning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64356431" name="Rectangle 8"/>
                            <wps:cNvSpPr/>
                            <wps:spPr>
                              <a:xfrm>
                                <a:off x="1762125" y="857250"/>
                                <a:ext cx="1352550" cy="4000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A9276D">
                                  <w:pPr>
                                    <w:jc w:val="center"/>
                                  </w:pPr>
                                  <w:r>
                                    <w:t>Data Encoding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96837404" name="Rectangle 9"/>
                            <wps:cNvSpPr/>
                            <wps:spPr>
                              <a:xfrm>
                                <a:off x="1762125" y="1352550"/>
                                <a:ext cx="1371600" cy="3714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05CCE">
                                  <w:pPr>
                                    <w:jc w:val="center"/>
                                  </w:pPr>
                                  <w:r>
                                    <w:t>Data Normalization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2656993" name="Straight Arrow Connector 10"/>
                            <wps:cNvCnPr/>
                            <wps:spPr>
                              <a:xfrm flipH="1">
                                <a:off x="2314575" y="1809750"/>
                                <a:ext cx="45085" cy="361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13125950" name="Text Box 12"/>
                            <wps:cNvSpPr txBox="1"/>
                            <wps:spPr>
                              <a:xfrm>
                                <a:off x="1638300" y="2162175"/>
                                <a:ext cx="1619250" cy="962025"/>
                              </a:xfrm>
                              <a:prstGeom prst="rect">
                                <a:avLst/>
                              </a:prstGeom>
                              <a:solidFill>
                                <a:schemeClr val="lt1"/>
                              </a:solidFill>
                              <a:ln w="6350">
                                <a:solidFill>
                                  <a:prstClr val="black"/>
                                </a:solidFill>
                              </a:ln>
                            </wps:spPr>
                            <wps:txbx>
                              <w:txbxContent>
                                <w:p w14:paraId="6F7DA1AA">
                                  <w:pPr>
                                    <w:jc w:val="center"/>
                                    <w:rPr>
                                      <w:rFonts w:ascii="Times New Roman" w:hAnsi="Times New Roman" w:cs="Times New Roman"/>
                                      <w:b/>
                                      <w:bCs/>
                                      <w:sz w:val="24"/>
                                      <w:szCs w:val="24"/>
                                    </w:rPr>
                                  </w:pPr>
                                  <w:r>
                                    <w:rPr>
                                      <w:rFonts w:ascii="Times New Roman" w:hAnsi="Times New Roman" w:cs="Times New Roman"/>
                                      <w:b/>
                                      <w:bCs/>
                                      <w:sz w:val="24"/>
                                      <w:szCs w:val="24"/>
                                    </w:rPr>
                                    <w:t>Data Splitting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66598329" name="Rectangle 13"/>
                            <wps:cNvSpPr/>
                            <wps:spPr>
                              <a:xfrm>
                                <a:off x="1685925" y="2600325"/>
                                <a:ext cx="714375" cy="4476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155EF7">
                                  <w:pPr>
                                    <w:jc w:val="center"/>
                                  </w:pPr>
                                  <w:r>
                                    <w:t>Testing Data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71460462" name="Rectangle 13"/>
                            <wps:cNvSpPr/>
                            <wps:spPr>
                              <a:xfrm>
                                <a:off x="2476500" y="2600325"/>
                                <a:ext cx="676275" cy="4476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726C50">
                                  <w:pPr>
                                    <w:jc w:val="center"/>
                                  </w:pPr>
                                  <w:r>
                                    <w:t>Training Data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84054975" name="Text Box 14"/>
                            <wps:cNvSpPr txBox="1"/>
                            <wps:spPr>
                              <a:xfrm>
                                <a:off x="2371725" y="1895475"/>
                                <a:ext cx="1247775" cy="247650"/>
                              </a:xfrm>
                              <a:prstGeom prst="rect">
                                <a:avLst/>
                              </a:prstGeom>
                              <a:solidFill>
                                <a:schemeClr val="lt1"/>
                              </a:solidFill>
                              <a:ln w="6350">
                                <a:noFill/>
                              </a:ln>
                            </wps:spPr>
                            <wps:txbx>
                              <w:txbxContent>
                                <w:p w14:paraId="3757E4E6">
                                  <w:r>
                                    <w:t>Transformed 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9286410" name="Text Box 15"/>
                            <wps:cNvSpPr txBox="1"/>
                            <wps:spPr>
                              <a:xfrm>
                                <a:off x="1114425" y="342900"/>
                                <a:ext cx="457835" cy="685800"/>
                              </a:xfrm>
                              <a:prstGeom prst="rect">
                                <a:avLst/>
                              </a:prstGeom>
                              <a:solidFill>
                                <a:schemeClr val="lt1"/>
                              </a:solidFill>
                              <a:ln w="6350">
                                <a:noFill/>
                              </a:ln>
                            </wps:spPr>
                            <wps:txbx>
                              <w:txbxContent>
                                <w:p w14:paraId="7383328D">
                                  <w:r>
                                    <w:t>Raw</w:t>
                                  </w:r>
                                </w:p>
                                <w:p w14:paraId="0B374955">
                                  <w:r>
                                    <w:t>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71980194" name="Straight Arrow Connector 5"/>
                            <wps:cNvCnPr/>
                            <wps:spPr>
                              <a:xfrm>
                                <a:off x="1104900" y="619125"/>
                                <a:ext cx="581025" cy="450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2883879" name="Straight Arrow Connector 16"/>
                            <wps:cNvCnPr/>
                            <wps:spPr>
                              <a:xfrm flipH="1">
                                <a:off x="2028825" y="2381250"/>
                                <a:ext cx="24765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5039728" name="Straight Arrow Connector 17"/>
                            <wps:cNvCnPr/>
                            <wps:spPr>
                              <a:xfrm>
                                <a:off x="2324100" y="2390775"/>
                                <a:ext cx="228600"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2286453" name="Straight Arrow Connector 18"/>
                            <wps:cNvCnPr/>
                            <wps:spPr>
                              <a:xfrm flipV="1">
                                <a:off x="3305175" y="942975"/>
                                <a:ext cx="428625" cy="666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48467271" name="Text Box 20"/>
                            <wps:cNvSpPr txBox="1"/>
                            <wps:spPr>
                              <a:xfrm>
                                <a:off x="3752850" y="95250"/>
                                <a:ext cx="1543050" cy="2152650"/>
                              </a:xfrm>
                              <a:prstGeom prst="rect">
                                <a:avLst/>
                              </a:prstGeom>
                              <a:solidFill>
                                <a:schemeClr val="lt1"/>
                              </a:solidFill>
                              <a:ln w="6350">
                                <a:solidFill>
                                  <a:prstClr val="black"/>
                                </a:solidFill>
                              </a:ln>
                            </wps:spPr>
                            <wps:txbx>
                              <w:txbxContent>
                                <w:p w14:paraId="4E908963">
                                  <w:pPr>
                                    <w:jc w:val="center"/>
                                    <w:rPr>
                                      <w:rFonts w:ascii="Times New Roman" w:hAnsi="Times New Roman" w:cs="Times New Roman"/>
                                      <w:b/>
                                      <w:bCs/>
                                      <w:sz w:val="24"/>
                                      <w:szCs w:val="24"/>
                                    </w:rPr>
                                  </w:pPr>
                                  <w:r>
                                    <w:rPr>
                                      <w:rFonts w:ascii="Times New Roman" w:hAnsi="Times New Roman" w:cs="Times New Roman"/>
                                      <w:b/>
                                      <w:bCs/>
                                      <w:sz w:val="24"/>
                                      <w:szCs w:val="24"/>
                                    </w:rPr>
                                    <w:t>Model Building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06379806" name="Rectangle 21"/>
                            <wps:cNvSpPr/>
                            <wps:spPr>
                              <a:xfrm>
                                <a:off x="3905250" y="485775"/>
                                <a:ext cx="1276350" cy="304800"/>
                              </a:xfrm>
                              <a:prstGeom prst="rect">
                                <a:avLst/>
                              </a:prstGeom>
                              <a:solidFill>
                                <a:schemeClr val="accent6">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A67F8F">
                                  <w:pPr>
                                    <w:jc w:val="center"/>
                                  </w:pPr>
                                  <w:r>
                                    <w:t>Decision Tree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36824770" name="Rectangle 21"/>
                            <wps:cNvSpPr/>
                            <wps:spPr>
                              <a:xfrm>
                                <a:off x="3895725" y="971550"/>
                                <a:ext cx="1276350" cy="304800"/>
                              </a:xfrm>
                              <a:prstGeom prst="rect">
                                <a:avLst/>
                              </a:prstGeom>
                              <a:solidFill>
                                <a:schemeClr val="accent5">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44347A">
                                  <w:pPr>
                                    <w:jc w:val="center"/>
                                  </w:pPr>
                                  <w:r>
                                    <w:t>Random Forest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6228679" name="Rectangle 21"/>
                            <wps:cNvSpPr/>
                            <wps:spPr>
                              <a:xfrm>
                                <a:off x="3876675" y="1409700"/>
                                <a:ext cx="1276350" cy="304800"/>
                              </a:xfrm>
                              <a:prstGeom prst="rect">
                                <a:avLst/>
                              </a:prstGeom>
                              <a:solidFill>
                                <a:schemeClr val="accent4">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40B68F">
                                  <w:pPr>
                                    <w:jc w:val="center"/>
                                  </w:pPr>
                                  <w:r>
                                    <w:t>SVM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18527372" name="Rectangle 21"/>
                            <wps:cNvSpPr/>
                            <wps:spPr>
                              <a:xfrm>
                                <a:off x="3895725" y="1828800"/>
                                <a:ext cx="1276350" cy="304800"/>
                              </a:xfrm>
                              <a:prstGeom prst="rect">
                                <a:avLst/>
                              </a:prstGeom>
                              <a:solidFill>
                                <a:schemeClr val="bg2">
                                  <a:lumMod val="9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DFC1DA">
                                  <w:pPr>
                                    <w:jc w:val="center"/>
                                  </w:pPr>
                                  <w:r>
                                    <w:t>XGBoost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06876074" name="Straight Arrow Connector 22"/>
                            <wps:cNvCnPr/>
                            <wps:spPr>
                              <a:xfrm>
                                <a:off x="4438650" y="2257425"/>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48501683" name="Rectangle: Rounded Corners 23"/>
                            <wps:cNvSpPr/>
                            <wps:spPr>
                              <a:xfrm>
                                <a:off x="3848100" y="2505075"/>
                                <a:ext cx="1228725" cy="5238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CA1248">
                                  <w:pPr>
                                    <w:jc w:val="center"/>
                                  </w:pPr>
                                  <w:r>
                                    <w:t>Learned Model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71565352" name="Straight Arrow Connector 24"/>
                            <wps:cNvCnPr/>
                            <wps:spPr>
                              <a:xfrm>
                                <a:off x="4457700" y="3038475"/>
                                <a:ext cx="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55980867" name="Rectangle 25"/>
                            <wps:cNvSpPr/>
                            <wps:spPr>
                              <a:xfrm>
                                <a:off x="3771900" y="3228975"/>
                                <a:ext cx="1571625" cy="6667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3450AC">
                                  <w:pPr>
                                    <w:spacing w:after="0" w:line="240" w:lineRule="auto"/>
                                    <w:jc w:val="center"/>
                                  </w:pPr>
                                  <w:r>
                                    <w:t>Model Evaluation</w:t>
                                  </w:r>
                                </w:p>
                                <w:p w14:paraId="11079E9B">
                                  <w:pPr>
                                    <w:spacing w:after="0" w:line="240" w:lineRule="auto"/>
                                    <w:jc w:val="center"/>
                                  </w:pPr>
                                  <w:r>
                                    <w:t>&amp;</w:t>
                                  </w:r>
                                </w:p>
                                <w:p w14:paraId="6C5C6068">
                                  <w:pPr>
                                    <w:spacing w:after="0" w:line="240" w:lineRule="auto"/>
                                    <w:jc w:val="center"/>
                                  </w:pPr>
                                  <w:r>
                                    <w:t>Visualization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0838876" name="Straight Arrow Connector 26"/>
                            <wps:cNvCnPr/>
                            <wps:spPr>
                              <a:xfrm flipH="1">
                                <a:off x="3429000" y="3629025"/>
                                <a:ext cx="352425"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71622000" name="Rectangle 27"/>
                            <wps:cNvSpPr/>
                            <wps:spPr>
                              <a:xfrm>
                                <a:off x="1943100" y="3476625"/>
                                <a:ext cx="1466850" cy="342900"/>
                              </a:xfrm>
                              <a:prstGeom prst="rect">
                                <a:avLst/>
                              </a:prstGeom>
                              <a:solidFill>
                                <a:schemeClr val="accent1">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7D6D62">
                                  <w:pPr>
                                    <w:jc w:val="center"/>
                                  </w:pPr>
                                  <w:r>
                                    <w:t>Churn Prediction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90123495" name="Straight Arrow Connector 28"/>
                            <wps:cNvCnPr/>
                            <wps:spPr>
                              <a:xfrm flipH="1" flipV="1">
                                <a:off x="590550" y="2333625"/>
                                <a:ext cx="45085" cy="12192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0962420" name="Rectangle 33"/>
                            <wps:cNvSpPr/>
                            <wps:spPr>
                              <a:xfrm>
                                <a:off x="76200" y="2733675"/>
                                <a:ext cx="1257300" cy="5238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51F54E">
                                  <w:pPr>
                                    <w:jc w:val="center"/>
                                  </w:pPr>
                                  <w:r>
                                    <w:t>Retention Strategy</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295345358" name="Group 38"/>
                            <wpg:cNvGrpSpPr/>
                            <wpg:grpSpPr>
                              <a:xfrm>
                                <a:off x="2124075" y="2695575"/>
                                <a:ext cx="1704975" cy="647700"/>
                                <a:chOff x="0" y="0"/>
                                <a:chExt cx="1704975" cy="647700"/>
                              </a:xfrm>
                            </wpg:grpSpPr>
                            <wps:wsp>
                              <wps:cNvPr id="499236519" name="Straight Connector 34"/>
                              <wps:cNvCnPr/>
                              <wps:spPr>
                                <a:xfrm>
                                  <a:off x="0" y="361950"/>
                                  <a:ext cx="19050" cy="28575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87366100" name="Straight Connector 35"/>
                              <wps:cNvCnPr/>
                              <wps:spPr>
                                <a:xfrm flipV="1">
                                  <a:off x="9525" y="628650"/>
                                  <a:ext cx="1447800" cy="9525"/>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7978850" name="Straight Arrow Connector 36"/>
                              <wps:cNvCnPr/>
                              <wps:spPr>
                                <a:xfrm flipV="1">
                                  <a:off x="1466850" y="0"/>
                                  <a:ext cx="238125" cy="628650"/>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354551162" name="Straight Arrow Connector 42"/>
                          <wps:cNvCnPr/>
                          <wps:spPr>
                            <a:xfrm flipV="1">
                              <a:off x="2914650" y="1514475"/>
                              <a:ext cx="828675" cy="10953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45" o:spid="_x0000_s1026" o:spt="203" style="position:absolute;left:0pt;margin-left:14.25pt;margin-top:10.45pt;height:306.75pt;width:420.75pt;z-index:251659264;mso-width-relative:page;mso-height-relative:page;" coordsize="5343525,3895725" o:gfxdata="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">
                <o:lock v:ext="edit" aspectratio="f"/>
                <v:line id="Straight Connector 29" o:spid="_x0000_s1026" o:spt="20" style="position:absolute;left:619125;top:3543300;height:133350;width:1336040;" filled="f" stroked="t" coordsize="21600,21600" o:gfxdata="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7cWxwwAAAOMAAAAPAAAAAAAAAAEAIAAAACIAAABkcnMvZG93bnJldi54bWxQSwECFAAUAAAACACH&#10;TuJAMy8FnjsAAAA5AAAAEAAAAAAAAAABACAAAAASAQAAZHJzL3NoYXBleG1sLnhtbFBLBQYAAAAA&#10;BgAGAFsBAAC8AwAAAAA=&#10;">
                  <v:fill on="f" focussize="0,0"/>
                  <v:stroke weight="1.25pt" color="#000000 [3213]" miterlimit="8" joinstyle="miter"/>
                  <v:imagedata o:title=""/>
                  <o:lock v:ext="edit" aspectratio="f"/>
                </v:line>
                <v:group id="Group 44" o:spid="_x0000_s1026" o:spt="203" style="position:absolute;left:0;top:0;height:3895725;width:5343525;" coordsize="5343525,3895725" o:gfxdata="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HK4qCHBAAAA4wAAAA8AAAAAAAAAAQAgAAAAIgAAAGRycy9kb3ducmV2&#10;LnhtbFBLAQIUABQAAAAIAIdO4kAzLwWeOwAAADkAAAAVAAAAAAAAAAEAIAAAABABAABkcnMvZ3Jv&#10;dXBzaGFwZXhtbC54bWxQSwUGAAAAAAYABgBgAQAAzQMAAAAA&#10;">
                  <o:lock v:ext="edit" aspectratio="f"/>
                  <v:group id="Group 39" o:spid="_x0000_s1026" o:spt="203" style="position:absolute;left:0;top:0;height:3895725;width:5343525;" coordsize="5343525,3895725" o:gfxdata="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PKMTR3BAAAA4gAAAA8AAAAAAAAAAQAgAAAAIgAAAGRycy9kb3ducmV2&#10;LnhtbFBLAQIUABQAAAAIAIdO4kAzLwWeOwAAADkAAAAVAAAAAAAAAAEAIAAAABABAABkcnMvZ3Jv&#10;dXBzaGFwZXhtbC54bWxQSwUGAAAAAAYABgBgAQAAzQMAAAAA&#10;">
                    <o:lock v:ext="edit" aspectratio="f"/>
                    <v:shape id="Cylinder 2" o:spid="_x0000_s1026" o:spt="22" type="#_x0000_t22" style="position:absolute;left:95250;top:38100;height:1057275;width:962025;v-text-anchor:middle;" fillcolor="#FFFFFF [3201]" filled="t" stroked="t" coordsize="21600,21600" o:gfxdata="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EZ7EMQAAADiAAAADwAAAAAAAAABACAAAAAiAAAAZHJzL2Rvd25yZXYueG1sUEsBAhQAFAAAAAgA&#10;h07iQDMvBZ47AAAAOQAAABAAAAAAAAAAAQAgAAAAEwEAAGRycy9zaGFwZXhtbC54bWxQSwUGAAAA&#10;AAYABgBbAQAAvQMAAAAA&#10;" adj="4913">
                      <v:fill on="t" focussize="0,0"/>
                      <v:stroke weight="1.5pt" color="#000000 [3213]" miterlimit="8" joinstyle="miter"/>
                      <v:imagedata o:title=""/>
                      <o:lock v:ext="edit" aspectratio="f"/>
                      <v:textbox>
                        <w:txbxContent>
                          <w:p w14:paraId="66FB1B88">
                            <w:pPr>
                              <w:jc w:val="center"/>
                            </w:pPr>
                            <w:r>
                              <w:t>Telecom Customers Data Profile</w:t>
                            </w:r>
                          </w:p>
                        </w:txbxContent>
                      </v:textbox>
                    </v:shape>
                    <v:shape id="Text Box 3" o:spid="_x0000_s1026" o:spt="202" type="#_x0000_t202" style="position:absolute;left:0;top:1352550;height:1047750;width:1323975;" fillcolor="#FFFFFF [3201]" filled="t" stroked="f" coordsize="21600,21600" o:gfxdata="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tGzy/&#10;AAAA4gAAAA8AAAAAAAAAAQAgAAAAIgAAAGRycy9kb3ducmV2LnhtbFBLAQIUABQAAAAIAIdO4kAz&#10;LwWeOwAAADkAAAAQAAAAAAAAAAEAIAAAAA4BAABkcnMvc2hhcGV4bWwueG1sUEsFBgAAAAAGAAYA&#10;WwEAALgDAAAAAA==&#10;">
                      <v:fill on="t" focussize="0,0"/>
                      <v:stroke on="f" weight="0.5pt"/>
                      <v:imagedata o:title=""/>
                      <o:lock v:ext="edit" aspectratio="f"/>
                      <v:textbox>
                        <w:txbxContent>
                          <w:p w14:paraId="4877BF42">
                            <w:r>
                              <w:drawing>
                                <wp:inline distT="0" distB="0" distL="0" distR="0">
                                  <wp:extent cx="1085215" cy="904875"/>
                                  <wp:effectExtent l="0" t="0" r="635" b="0"/>
                                  <wp:docPr id="20881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0334" name="Picture 1"/>
                                          <pic:cNvPicPr>
                                            <a:picLocks noChangeAspect="1"/>
                                          </pic:cNvPicPr>
                                        </pic:nvPicPr>
                                        <pic:blipFill>
                                          <a:blip r:embed="rId7"/>
                                          <a:stretch>
                                            <a:fillRect/>
                                          </a:stretch>
                                        </pic:blipFill>
                                        <pic:spPr>
                                          <a:xfrm>
                                            <a:off x="0" y="0"/>
                                            <a:ext cx="1090708" cy="909340"/>
                                          </a:xfrm>
                                          <a:prstGeom prst="rect">
                                            <a:avLst/>
                                          </a:prstGeom>
                                        </pic:spPr>
                                      </pic:pic>
                                    </a:graphicData>
                                  </a:graphic>
                                </wp:inline>
                              </w:drawing>
                            </w:r>
                          </w:p>
                        </w:txbxContent>
                      </v:textbox>
                    </v:shape>
                    <v:shape id="Straight Arrow Connector 4" o:spid="_x0000_s1026" o:spt="32" type="#_x0000_t32" style="position:absolute;left:581025;top:1114425;flip:y;height:257175;width:0;" filled="f" stroked="t" coordsize="21600,21600" o:gfxdata="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bOl&#10;pcEAAADjAAAADwAAAAAAAAABACAAAAAiAAAAZHJzL2Rvd25yZXYueG1sUEsBAhQAFAAAAAgAh07i&#10;QDMvBZ47AAAAOQAAABAAAAAAAAAAAQAgAAAAEAEAAGRycy9zaGFwZXhtbC54bWxQSwUGAAAAAAYA&#10;BgBbAQAAugMAAAAA&#10;">
                      <v:fill on="f" focussize="0,0"/>
                      <v:stroke weight="0.5pt" color="#000000 [3213]" miterlimit="8" joinstyle="miter" endarrow="block"/>
                      <v:imagedata o:title=""/>
                      <o:lock v:ext="edit" aspectratio="f"/>
                    </v:shape>
                    <v:shape id="Text Box 6" o:spid="_x0000_s1026" o:spt="202" type="#_x0000_t202" style="position:absolute;left:1695450;top:0;height:1800225;width:1609725;" fillcolor="#FFFFFF [3201]" filled="t" stroked="t" coordsize="21600,21600" o:gfxdata="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wrxW/&#10;AAAA4wAAAA8AAAAAAAAAAQAgAAAAIgAAAGRycy9kb3ducmV2LnhtbFBLAQIUABQAAAAIAIdO4kAz&#10;LwWeOwAAADkAAAAQAAAAAAAAAAEAIAAAAA4BAABkcnMvc2hhcGV4bWwueG1sUEsFBgAAAAAGAAYA&#10;WwEAALgDAAAAAA==&#10;">
                      <v:fill on="t" focussize="0,0"/>
                      <v:stroke weight="0.5pt" color="#000000" joinstyle="round"/>
                      <v:imagedata o:title=""/>
                      <o:lock v:ext="edit" aspectratio="f"/>
                      <v:textbox>
                        <w:txbxContent>
                          <w:p w14:paraId="1F207F25">
                            <w:pPr>
                              <w:jc w:val="center"/>
                              <w:rPr>
                                <w:rFonts w:ascii="Times New Roman" w:hAnsi="Times New Roman" w:cs="Times New Roman"/>
                                <w:b/>
                                <w:bCs/>
                                <w:sz w:val="24"/>
                                <w:szCs w:val="24"/>
                              </w:rPr>
                            </w:pPr>
                            <w:r>
                              <w:rPr>
                                <w:rFonts w:ascii="Times New Roman" w:hAnsi="Times New Roman" w:cs="Times New Roman"/>
                                <w:b/>
                                <w:bCs/>
                                <w:sz w:val="24"/>
                                <w:szCs w:val="24"/>
                              </w:rPr>
                              <w:t>Data Preprocessing</w:t>
                            </w:r>
                          </w:p>
                        </w:txbxContent>
                      </v:textbox>
                    </v:shape>
                    <v:rect id="Rectangle 7" o:spid="_x0000_s1026" o:spt="1" style="position:absolute;left:1752600;top:352425;height:371475;width:1343025;v-text-anchor:middle;" fillcolor="#FFFFFF [3201]" filled="t" stroked="t" coordsize="21600,21600" o:gfxdata="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cFkG/&#10;AAAA4gAAAA8AAAAAAAAAAQAgAAAAIgAAAGRycy9kb3ducmV2LnhtbFBLAQIUABQAAAAIAIdO4kAz&#10;LwWeOwAAADkAAAAQAAAAAAAAAAEAIAAAAA4BAABkcnMvc2hhcGV4bWwueG1sUEsFBgAAAAAGAAYA&#10;WwEAALgDAAAAAA==&#10;">
                      <v:fill on="t" focussize="0,0"/>
                      <v:stroke weight="1.5pt" color="#000000 [3213]" miterlimit="8" joinstyle="miter"/>
                      <v:imagedata o:title=""/>
                      <o:lock v:ext="edit" aspectratio="f"/>
                      <v:textbox>
                        <w:txbxContent>
                          <w:p w14:paraId="5A4A6C7E">
                            <w:pPr>
                              <w:jc w:val="center"/>
                            </w:pPr>
                            <w:r>
                              <w:t>Data Cleaning</w:t>
                            </w:r>
                          </w:p>
                        </w:txbxContent>
                      </v:textbox>
                    </v:rect>
                    <v:rect id="Rectangle 8" o:spid="_x0000_s1026" o:spt="1" style="position:absolute;left:1762125;top:857250;height:400050;width:1352550;v-text-anchor:middle;" fillcolor="#FFFFFF [3201]" filled="t" stroked="t" coordsize="21600,21600" o:gfxdata="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P4&#10;CIfCAAAA4wAAAA8AAAAAAAAAAQAgAAAAIgAAAGRycy9kb3ducmV2LnhtbFBLAQIUABQAAAAIAIdO&#10;4kAzLwWeOwAAADkAAAAQAAAAAAAAAAEAIAAAABEBAABkcnMvc2hhcGV4bWwueG1sUEsFBgAAAAAG&#10;AAYAWwEAALsDAAAAAA==&#10;">
                      <v:fill on="t" focussize="0,0"/>
                      <v:stroke weight="1.5pt" color="#000000 [3213]" miterlimit="8" joinstyle="miter"/>
                      <v:imagedata o:title=""/>
                      <o:lock v:ext="edit" aspectratio="f"/>
                      <v:textbox>
                        <w:txbxContent>
                          <w:p w14:paraId="16A9276D">
                            <w:pPr>
                              <w:jc w:val="center"/>
                            </w:pPr>
                            <w:r>
                              <w:t>Data Encoding</w:t>
                            </w:r>
                          </w:p>
                        </w:txbxContent>
                      </v:textbox>
                    </v:rect>
                    <v:rect id="Rectangle 9" o:spid="_x0000_s1026" o:spt="1" style="position:absolute;left:1762125;top:1352550;height:371475;width:1371600;v-text-anchor:middle;" fillcolor="#FFFFFF [3201]" filled="t" stroked="t" coordsize="21600,21600" o:gfxdata="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3IrUcQAAADiAAAADwAAAAAAAAABACAAAAAiAAAAZHJzL2Rvd25yZXYueG1sUEsBAhQAFAAAAAgA&#10;h07iQDMvBZ47AAAAOQAAABAAAAAAAAAAAQAgAAAAEwEAAGRycy9zaGFwZXhtbC54bWxQSwUGAAAA&#10;AAYABgBbAQAAvQMAAAAA&#10;">
                      <v:fill on="t" focussize="0,0"/>
                      <v:stroke weight="1.5pt" color="#000000 [3213]" miterlimit="8" joinstyle="miter"/>
                      <v:imagedata o:title=""/>
                      <o:lock v:ext="edit" aspectratio="f"/>
                      <v:textbox>
                        <w:txbxContent>
                          <w:p w14:paraId="08505CCE">
                            <w:pPr>
                              <w:jc w:val="center"/>
                            </w:pPr>
                            <w:r>
                              <w:t>Data Normalization</w:t>
                            </w:r>
                          </w:p>
                        </w:txbxContent>
                      </v:textbox>
                    </v:rect>
                    <v:shape id="Straight Arrow Connector 10" o:spid="_x0000_s1026" o:spt="32" type="#_x0000_t32" style="position:absolute;left:2314575;top:1809750;flip:x;height:361950;width:45085;" filled="f" stroked="t" coordsize="21600,21600" o:gfxdata="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4CTWwwAAAOIAAAAPAAAAAAAAAAEAIAAAACIAAABkcnMvZG93bnJldi54bWxQSwECFAAUAAAACACH&#10;TuJAMy8FnjsAAAA5AAAAEAAAAAAAAAABACAAAAASAQAAZHJzL3NoYXBleG1sLnhtbFBLBQYAAAAA&#10;BgAGAFsBAAC8AwAAAAA=&#10;">
                      <v:fill on="f" focussize="0,0"/>
                      <v:stroke weight="0.5pt" color="#000000 [3213]" miterlimit="8" joinstyle="miter" endarrow="block"/>
                      <v:imagedata o:title=""/>
                      <o:lock v:ext="edit" aspectratio="f"/>
                    </v:shape>
                    <v:shape id="Text Box 12" o:spid="_x0000_s1026" o:spt="202" type="#_x0000_t202" style="position:absolute;left:1638300;top:2162175;height:962025;width:1619250;" fillcolor="#FFFFFF [3201]" filled="t" stroked="t" coordsize="21600,21600" o:gfxdata="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N4&#10;l7LCAAAA4wAAAA8AAAAAAAAAAQAgAAAAIgAAAGRycy9kb3ducmV2LnhtbFBLAQIUABQAAAAIAIdO&#10;4kAzLwWeOwAAADkAAAAQAAAAAAAAAAEAIAAAABEBAABkcnMvc2hhcGV4bWwueG1sUEsFBgAAAAAG&#10;AAYAWwEAALsDAAAAAA==&#10;">
                      <v:fill on="t" focussize="0,0"/>
                      <v:stroke weight="0.5pt" color="#000000" joinstyle="round"/>
                      <v:imagedata o:title=""/>
                      <o:lock v:ext="edit" aspectratio="f"/>
                      <v:textbox>
                        <w:txbxContent>
                          <w:p w14:paraId="6F7DA1AA">
                            <w:pPr>
                              <w:jc w:val="center"/>
                              <w:rPr>
                                <w:rFonts w:ascii="Times New Roman" w:hAnsi="Times New Roman" w:cs="Times New Roman"/>
                                <w:b/>
                                <w:bCs/>
                                <w:sz w:val="24"/>
                                <w:szCs w:val="24"/>
                              </w:rPr>
                            </w:pPr>
                            <w:r>
                              <w:rPr>
                                <w:rFonts w:ascii="Times New Roman" w:hAnsi="Times New Roman" w:cs="Times New Roman"/>
                                <w:b/>
                                <w:bCs/>
                                <w:sz w:val="24"/>
                                <w:szCs w:val="24"/>
                              </w:rPr>
                              <w:t>Data Splitting</w:t>
                            </w:r>
                          </w:p>
                        </w:txbxContent>
                      </v:textbox>
                    </v:shape>
                    <v:rect id="Rectangle 13" o:spid="_x0000_s1026" o:spt="1" style="position:absolute;left:1685925;top:2600325;height:447675;width:714375;v-text-anchor:middle;" fillcolor="#FFFFFF [3201]" filled="t" stroked="t" coordsize="21600,21600" o:gfxdata="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IA87wwAAAOIAAAAPAAAAAAAAAAEAIAAAACIAAABkcnMvZG93bnJldi54bWxQSwECFAAUAAAACACH&#10;TuJAMy8FnjsAAAA5AAAAEAAAAAAAAAABACAAAAASAQAAZHJzL3NoYXBleG1sLnhtbFBLBQYAAAAA&#10;BgAGAFsBAAC8AwAAAAA=&#10;">
                      <v:fill on="t" focussize="0,0"/>
                      <v:stroke weight="1.5pt" color="#000000 [3213]" miterlimit="8" joinstyle="miter"/>
                      <v:imagedata o:title=""/>
                      <o:lock v:ext="edit" aspectratio="f"/>
                      <v:textbox>
                        <w:txbxContent>
                          <w:p w14:paraId="15155EF7">
                            <w:pPr>
                              <w:jc w:val="center"/>
                            </w:pPr>
                            <w:r>
                              <w:t>Testing Data</w:t>
                            </w:r>
                          </w:p>
                        </w:txbxContent>
                      </v:textbox>
                    </v:rect>
                    <v:rect id="Rectangle 13" o:spid="_x0000_s1026" o:spt="1" style="position:absolute;left:2476500;top:2600325;height:447675;width:676275;v-text-anchor:middle;" fillcolor="#FFFFFF [3201]" filled="t" stroked="t" coordsize="21600,21600" o:gfxdata="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GQB&#10;9cEAAADjAAAADwAAAAAAAAABACAAAAAiAAAAZHJzL2Rvd25yZXYueG1sUEsBAhQAFAAAAAgAh07i&#10;QDMvBZ47AAAAOQAAABAAAAAAAAAAAQAgAAAAEAEAAGRycy9zaGFwZXhtbC54bWxQSwUGAAAAAAYA&#10;BgBbAQAAugMAAAAA&#10;">
                      <v:fill on="t" focussize="0,0"/>
                      <v:stroke weight="1.5pt" color="#000000 [3213]" miterlimit="8" joinstyle="miter"/>
                      <v:imagedata o:title=""/>
                      <o:lock v:ext="edit" aspectratio="f"/>
                      <v:textbox>
                        <w:txbxContent>
                          <w:p w14:paraId="53726C50">
                            <w:pPr>
                              <w:jc w:val="center"/>
                            </w:pPr>
                            <w:r>
                              <w:t>Training Data</w:t>
                            </w:r>
                          </w:p>
                        </w:txbxContent>
                      </v:textbox>
                    </v:rect>
                    <v:shape id="Text Box 14" o:spid="_x0000_s1026" o:spt="202" type="#_x0000_t202" style="position:absolute;left:2371725;top:1895475;height:247650;width:1247775;" fillcolor="#FFFFFF [3201]" filled="t" stroked="f" coordsize="21600,21600" o:gfxdata="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MPK74A&#10;AADjAAAADwAAAAAAAAABACAAAAAiAAAAZHJzL2Rvd25yZXYueG1sUEsBAhQAFAAAAAgAh07iQDMv&#10;BZ47AAAAOQAAABAAAAAAAAAAAQAgAAAADQEAAGRycy9zaGFwZXhtbC54bWxQSwUGAAAAAAYABgBb&#10;AQAAtwMAAAAA&#10;">
                      <v:fill on="t" focussize="0,0"/>
                      <v:stroke on="f" weight="0.5pt"/>
                      <v:imagedata o:title=""/>
                      <o:lock v:ext="edit" aspectratio="f"/>
                      <v:textbox>
                        <w:txbxContent>
                          <w:p w14:paraId="3757E4E6">
                            <w:r>
                              <w:t>Transformed data</w:t>
                            </w:r>
                          </w:p>
                        </w:txbxContent>
                      </v:textbox>
                    </v:shape>
                    <v:shape id="Text Box 15" o:spid="_x0000_s1026" o:spt="202" type="#_x0000_t202" style="position:absolute;left:1114425;top:342900;height:685800;width:457835;" fillcolor="#FFFFFF [3201]" filled="t" stroked="f" coordsize="21600,21600" o:gfxdata="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LHQW/&#10;AAAA4gAAAA8AAAAAAAAAAQAgAAAAIgAAAGRycy9kb3ducmV2LnhtbFBLAQIUABQAAAAIAIdO4kAz&#10;LwWeOwAAADkAAAAQAAAAAAAAAAEAIAAAAA4BAABkcnMvc2hhcGV4bWwueG1sUEsFBgAAAAAGAAYA&#10;WwEAALgDAAAAAA==&#10;">
                      <v:fill on="t" focussize="0,0"/>
                      <v:stroke on="f" weight="0.5pt"/>
                      <v:imagedata o:title=""/>
                      <o:lock v:ext="edit" aspectratio="f"/>
                      <v:textbox>
                        <w:txbxContent>
                          <w:p w14:paraId="7383328D">
                            <w:r>
                              <w:t>Raw</w:t>
                            </w:r>
                          </w:p>
                          <w:p w14:paraId="0B374955">
                            <w:r>
                              <w:t>data</w:t>
                            </w:r>
                          </w:p>
                        </w:txbxContent>
                      </v:textbox>
                    </v:shape>
                    <v:shape id="Straight Arrow Connector 5" o:spid="_x0000_s1026" o:spt="32" type="#_x0000_t32" style="position:absolute;left:1104900;top:619125;height:45085;width:581025;" filled="f" stroked="t" coordsize="21600,21600" o:gfxdata="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0l&#10;GTLCAAAA4gAAAA8AAAAAAAAAAQAgAAAAIgAAAGRycy9kb3ducmV2LnhtbFBLAQIUABQAAAAIAIdO&#10;4kAzLwWeOwAAADkAAAAQAAAAAAAAAAEAIAAAABEBAABkcnMvc2hhcGV4bWwueG1sUEsFBgAAAAAG&#10;AAYAWwEAALsDAAAAAA==&#10;">
                      <v:fill on="f" focussize="0,0"/>
                      <v:stroke weight="0.5pt" color="#000000 [3213]" miterlimit="8" joinstyle="miter" endarrow="block"/>
                      <v:imagedata o:title=""/>
                      <o:lock v:ext="edit" aspectratio="f"/>
                    </v:shape>
                    <v:shape id="Straight Arrow Connector 16" o:spid="_x0000_s1026" o:spt="32" type="#_x0000_t32" style="position:absolute;left:2028825;top:2381250;flip:x;height:190500;width:247650;" filled="f" stroked="t" coordsize="21600,21600" o:gfxdata="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ihy5wwAAAOIAAAAPAAAAAAAAAAEAIAAAACIAAABkcnMvZG93bnJldi54bWxQSwECFAAUAAAACACH&#10;TuJAMy8FnjsAAAA5AAAAEAAAAAAAAAABACAAAAASAQAAZHJzL3NoYXBleG1sLnhtbFBLBQYAAAAA&#10;BgAGAFsBAAC8AwAAAAA=&#10;">
                      <v:fill on="f" focussize="0,0"/>
                      <v:stroke weight="0.5pt" color="#000000 [3213]" miterlimit="8" joinstyle="miter" endarrow="block"/>
                      <v:imagedata o:title=""/>
                      <o:lock v:ext="edit" aspectratio="f"/>
                    </v:shape>
                    <v:shape id="Straight Arrow Connector 17" o:spid="_x0000_s1026" o:spt="32" type="#_x0000_t32" style="position:absolute;left:2324100;top:2390775;height:209550;width:228600;" filled="f" stroked="t" coordsize="21600,21600" o:gfxdata="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48X6/&#10;AAAA4gAAAA8AAAAAAAAAAQAgAAAAIgAAAGRycy9kb3ducmV2LnhtbFBLAQIUABQAAAAIAIdO4kAz&#10;LwWeOwAAADkAAAAQAAAAAAAAAAEAIAAAAA4BAABkcnMvc2hhcGV4bWwueG1sUEsFBgAAAAAGAAYA&#10;WwEAALgDAAAAAA==&#10;">
                      <v:fill on="f" focussize="0,0"/>
                      <v:stroke weight="0.5pt" color="#000000 [3213]" miterlimit="8" joinstyle="miter" endarrow="block"/>
                      <v:imagedata o:title=""/>
                      <o:lock v:ext="edit" aspectratio="f"/>
                    </v:shape>
                    <v:shape id="Straight Arrow Connector 18" o:spid="_x0000_s1026" o:spt="32" type="#_x0000_t32" style="position:absolute;left:3305175;top:942975;flip:y;height:66675;width:428625;" filled="f" stroked="t" coordsize="21600,21600" o:gfxdata="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cFeU8QAAADjAAAADwAAAAAAAAABACAAAAAiAAAAZHJzL2Rvd25yZXYueG1sUEsBAhQAFAAAAAgA&#10;h07iQDMvBZ47AAAAOQAAABAAAAAAAAAAAQAgAAAAEwEAAGRycy9zaGFwZXhtbC54bWxQSwUGAAAA&#10;AAYABgBbAQAAvQMAAAAA&#10;">
                      <v:fill on="f" focussize="0,0"/>
                      <v:stroke weight="0.5pt" color="#000000 [3213]" miterlimit="8" joinstyle="miter" endarrow="block"/>
                      <v:imagedata o:title=""/>
                      <o:lock v:ext="edit" aspectratio="f"/>
                    </v:shape>
                    <v:shape id="Text Box 20" o:spid="_x0000_s1026" o:spt="202" type="#_x0000_t202" style="position:absolute;left:3752850;top:95250;height:2152650;width:1543050;" fillcolor="#FFFFFF [3201]" filled="t" stroked="t" coordsize="21600,21600" o:gfxdata="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NWrL4A&#10;AADjAAAADwAAAAAAAAABACAAAAAiAAAAZHJzL2Rvd25yZXYueG1sUEsBAhQAFAAAAAgAh07iQDMv&#10;BZ47AAAAOQAAABAAAAAAAAAAAQAgAAAADQEAAGRycy9zaGFwZXhtbC54bWxQSwUGAAAAAAYABgBb&#10;AQAAtwMAAAAA&#10;">
                      <v:fill on="t" focussize="0,0"/>
                      <v:stroke weight="0.5pt" color="#000000" joinstyle="round"/>
                      <v:imagedata o:title=""/>
                      <o:lock v:ext="edit" aspectratio="f"/>
                      <v:textbox>
                        <w:txbxContent>
                          <w:p w14:paraId="4E908963">
                            <w:pPr>
                              <w:jc w:val="center"/>
                              <w:rPr>
                                <w:rFonts w:ascii="Times New Roman" w:hAnsi="Times New Roman" w:cs="Times New Roman"/>
                                <w:b/>
                                <w:bCs/>
                                <w:sz w:val="24"/>
                                <w:szCs w:val="24"/>
                              </w:rPr>
                            </w:pPr>
                            <w:r>
                              <w:rPr>
                                <w:rFonts w:ascii="Times New Roman" w:hAnsi="Times New Roman" w:cs="Times New Roman"/>
                                <w:b/>
                                <w:bCs/>
                                <w:sz w:val="24"/>
                                <w:szCs w:val="24"/>
                              </w:rPr>
                              <w:t>Model Building</w:t>
                            </w:r>
                          </w:p>
                        </w:txbxContent>
                      </v:textbox>
                    </v:shape>
                    <v:rect id="Rectangle 21" o:spid="_x0000_s1026" o:spt="1" style="position:absolute;left:3905250;top:485775;height:304800;width:1276350;v-text-anchor:middle;" fillcolor="#E2F0D9 [665]" filled="t" stroked="t" coordsize="21600,21600" o:gfxdata="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a&#10;wtRQwwAAAOMAAAAPAAAAAAAAAAEAIAAAACIAAABkcnMvZG93bnJldi54bWxQSwECFAAUAAAACACH&#10;TuJAMy8FnjsAAAA5AAAAEAAAAAAAAAABACAAAAASAQAAZHJzL3NoYXBleG1sLnhtbFBLBQYAAAAA&#10;BgAGAFsBAAC8AwAAAAA=&#10;">
                      <v:fill on="t" focussize="0,0"/>
                      <v:stroke weight="1.5pt" color="#000000 [3213]" miterlimit="8" joinstyle="miter"/>
                      <v:imagedata o:title=""/>
                      <o:lock v:ext="edit" aspectratio="f"/>
                      <v:textbox>
                        <w:txbxContent>
                          <w:p w14:paraId="2DA67F8F">
                            <w:pPr>
                              <w:jc w:val="center"/>
                            </w:pPr>
                            <w:r>
                              <w:t>Decision Tree</w:t>
                            </w:r>
                          </w:p>
                        </w:txbxContent>
                      </v:textbox>
                    </v:rect>
                    <v:rect id="Rectangle 21" o:spid="_x0000_s1026" o:spt="1" style="position:absolute;left:3895725;top:971550;height:304800;width:1276350;v-text-anchor:middle;" fillcolor="#DEEBF7 [664]" filled="t" stroked="t" coordsize="21600,21600" o:gfxdata="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myLqrFAAAA4wAAAA8AAAAAAAAAAQAgAAAAIgAAAGRycy9kb3ducmV2LnhtbFBLAQIUABQAAAAI&#10;AIdO4kAzLwWeOwAAADkAAAAQAAAAAAAAAAEAIAAAABQBAABkcnMvc2hhcGV4bWwueG1sUEsFBgAA&#10;AAAGAAYAWwEAAL4DAAAAAA==&#10;">
                      <v:fill on="t" focussize="0,0"/>
                      <v:stroke weight="1.5pt" color="#000000 [3213]" miterlimit="8" joinstyle="miter"/>
                      <v:imagedata o:title=""/>
                      <o:lock v:ext="edit" aspectratio="f"/>
                      <v:textbox>
                        <w:txbxContent>
                          <w:p w14:paraId="0F44347A">
                            <w:pPr>
                              <w:jc w:val="center"/>
                            </w:pPr>
                            <w:r>
                              <w:t>Random Forest</w:t>
                            </w:r>
                          </w:p>
                        </w:txbxContent>
                      </v:textbox>
                    </v:rect>
                    <v:rect id="Rectangle 21" o:spid="_x0000_s1026" o:spt="1" style="position:absolute;left:3876675;top:1409700;height:304800;width:1276350;v-text-anchor:middle;" fillcolor="#FFF2CC [663]" filled="t" stroked="t" coordsize="21600,21600" o:gfxdata="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ELZB&#10;wAAAAOIAAAAPAAAAAAAAAAEAIAAAACIAAABkcnMvZG93bnJldi54bWxQSwECFAAUAAAACACHTuJA&#10;My8FnjsAAAA5AAAAEAAAAAAAAAABACAAAAAPAQAAZHJzL3NoYXBleG1sLnhtbFBLBQYAAAAABgAG&#10;AFsBAAC5AwAAAAA=&#10;">
                      <v:fill on="t" focussize="0,0"/>
                      <v:stroke weight="1.5pt" color="#000000 [3213]" miterlimit="8" joinstyle="miter"/>
                      <v:imagedata o:title=""/>
                      <o:lock v:ext="edit" aspectratio="f"/>
                      <v:textbox>
                        <w:txbxContent>
                          <w:p w14:paraId="3040B68F">
                            <w:pPr>
                              <w:jc w:val="center"/>
                            </w:pPr>
                            <w:r>
                              <w:t>SVM</w:t>
                            </w:r>
                          </w:p>
                        </w:txbxContent>
                      </v:textbox>
                    </v:rect>
                    <v:rect id="Rectangle 21" o:spid="_x0000_s1026" o:spt="1" style="position:absolute;left:3895725;top:1828800;height:304800;width:1276350;v-text-anchor:middle;" fillcolor="#D0CECE [2894]" filled="t" stroked="t" coordsize="21600,21600" o:gfxdata="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bY&#10;5gDCAAAA4wAAAA8AAAAAAAAAAQAgAAAAIgAAAGRycy9kb3ducmV2LnhtbFBLAQIUABQAAAAIAIdO&#10;4kAzLwWeOwAAADkAAAAQAAAAAAAAAAEAIAAAABEBAABkcnMvc2hhcGV4bWwueG1sUEsFBgAAAAAG&#10;AAYAWwEAALsDAAAAAA==&#10;">
                      <v:fill on="t" focussize="0,0"/>
                      <v:stroke weight="1.5pt" color="#000000 [3213]" miterlimit="8" joinstyle="miter"/>
                      <v:imagedata o:title=""/>
                      <o:lock v:ext="edit" aspectratio="f"/>
                      <v:textbox>
                        <w:txbxContent>
                          <w:p w14:paraId="00DFC1DA">
                            <w:pPr>
                              <w:jc w:val="center"/>
                            </w:pPr>
                            <w:r>
                              <w:t>XGBoost</w:t>
                            </w:r>
                          </w:p>
                        </w:txbxContent>
                      </v:textbox>
                    </v:rect>
                    <v:shape id="Straight Arrow Connector 22" o:spid="_x0000_s1026" o:spt="32" type="#_x0000_t32" style="position:absolute;left:4438650;top:2257425;height:257175;width:0;" filled="f" stroked="t" coordsize="21600,21600" o:gfxdata="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ba&#10;u5vCAAAA4gAAAA8AAAAAAAAAAQAgAAAAIgAAAGRycy9kb3ducmV2LnhtbFBLAQIUABQAAAAIAIdO&#10;4kAzLwWeOwAAADkAAAAQAAAAAAAAAAEAIAAAABEBAABkcnMvc2hhcGV4bWwueG1sUEsFBgAAAAAG&#10;AAYAWwEAALsDAAAAAA==&#10;">
                      <v:fill on="f" focussize="0,0"/>
                      <v:stroke weight="0.5pt" color="#000000 [3213]" miterlimit="8" joinstyle="miter" endarrow="block"/>
                      <v:imagedata o:title=""/>
                      <o:lock v:ext="edit" aspectratio="f"/>
                    </v:shape>
                    <v:roundrect id="Rectangle: Rounded Corners 23" o:spid="_x0000_s1026" o:spt="2" style="position:absolute;left:3848100;top:2505075;height:523875;width:1228725;v-text-anchor:middle;" fillcolor="#FFFFFF [3201]" filled="t" stroked="t" coordsize="21600,21600" arcsize="0.166666666666667" o:gfxdata="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vbN2/&#10;AAAA4w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textbox>
                        <w:txbxContent>
                          <w:p w14:paraId="15CA1248">
                            <w:pPr>
                              <w:jc w:val="center"/>
                            </w:pPr>
                            <w:r>
                              <w:t>Learned Model</w:t>
                            </w:r>
                          </w:p>
                        </w:txbxContent>
                      </v:textbox>
                    </v:roundrect>
                    <v:shape id="Straight Arrow Connector 24" o:spid="_x0000_s1026" o:spt="32" type="#_x0000_t32" style="position:absolute;left:4457700;top:3038475;height:190500;width:0;" filled="f" stroked="t" coordsize="21600,21600" o:gfxdata="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2W&#10;FTnCAAAA4gAAAA8AAAAAAAAAAQAgAAAAIgAAAGRycy9kb3ducmV2LnhtbFBLAQIUABQAAAAIAIdO&#10;4kAzLwWeOwAAADkAAAAQAAAAAAAAAAEAIAAAABEBAABkcnMvc2hhcGV4bWwueG1sUEsFBgAAAAAG&#10;AAYAWwEAALsDAAAAAA==&#10;">
                      <v:fill on="f" focussize="0,0"/>
                      <v:stroke weight="0.5pt" color="#000000 [3213]" miterlimit="8" joinstyle="miter" endarrow="block"/>
                      <v:imagedata o:title=""/>
                      <o:lock v:ext="edit" aspectratio="f"/>
                    </v:shape>
                    <v:rect id="Rectangle 25" o:spid="_x0000_s1026" o:spt="1" style="position:absolute;left:3771900;top:3228975;height:666750;width:1571625;v-text-anchor:middle;" fillcolor="#FFFFFF [3201]" filled="t" stroked="t" coordsize="21600,21600" o:gfxdata="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ysdWwwAAAOIAAAAPAAAAAAAAAAEAIAAAACIAAABkcnMvZG93bnJldi54bWxQSwECFAAUAAAACACH&#10;TuJAMy8FnjsAAAA5AAAAEAAAAAAAAAABACAAAAASAQAAZHJzL3NoYXBleG1sLnhtbFBLBQYAAAAA&#10;BgAGAFsBAAC8AwAAAAA=&#10;">
                      <v:fill on="t" focussize="0,0"/>
                      <v:stroke weight="1.5pt" color="#000000 [3213]" miterlimit="8" joinstyle="miter"/>
                      <v:imagedata o:title=""/>
                      <o:lock v:ext="edit" aspectratio="f"/>
                      <v:textbox>
                        <w:txbxContent>
                          <w:p w14:paraId="2B3450AC">
                            <w:pPr>
                              <w:spacing w:after="0" w:line="240" w:lineRule="auto"/>
                              <w:jc w:val="center"/>
                            </w:pPr>
                            <w:r>
                              <w:t>Model Evaluation</w:t>
                            </w:r>
                          </w:p>
                          <w:p w14:paraId="11079E9B">
                            <w:pPr>
                              <w:spacing w:after="0" w:line="240" w:lineRule="auto"/>
                              <w:jc w:val="center"/>
                            </w:pPr>
                            <w:r>
                              <w:t>&amp;</w:t>
                            </w:r>
                          </w:p>
                          <w:p w14:paraId="6C5C6068">
                            <w:pPr>
                              <w:spacing w:after="0" w:line="240" w:lineRule="auto"/>
                              <w:jc w:val="center"/>
                            </w:pPr>
                            <w:r>
                              <w:t>Visualization</w:t>
                            </w:r>
                          </w:p>
                        </w:txbxContent>
                      </v:textbox>
                    </v:rect>
                    <v:shape id="Straight Arrow Connector 26" o:spid="_x0000_s1026" o:spt="32" type="#_x0000_t32" style="position:absolute;left:3429000;top:3629025;flip:x;height:45719;width:352425;" filled="f" stroked="t" coordsize="21600,21600" o:gfxdata="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fiv18QAAADiAAAADwAAAAAAAAABACAAAAAiAAAAZHJzL2Rvd25yZXYueG1sUEsBAhQAFAAAAAgA&#10;h07iQDMvBZ47AAAAOQAAABAAAAAAAAAAAQAgAAAAEwEAAGRycy9zaGFwZXhtbC54bWxQSwUGAAAA&#10;AAYABgBbAQAAvQMAAAAA&#10;">
                      <v:fill on="f" focussize="0,0"/>
                      <v:stroke weight="0.5pt" color="#000000 [3213]" miterlimit="8" joinstyle="miter" endarrow="block"/>
                      <v:imagedata o:title=""/>
                      <o:lock v:ext="edit" aspectratio="f"/>
                    </v:shape>
                    <v:rect id="Rectangle 27" o:spid="_x0000_s1026" o:spt="1" style="position:absolute;left:1943100;top:3476625;height:342900;width:1466850;v-text-anchor:middle;" fillcolor="#DAE3F3 [660]" filled="t" stroked="t" coordsize="21600,21600" o:gfxdata="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baAewwAAAOMAAAAPAAAAAAAAAAEAIAAAACIAAABkcnMvZG93bnJldi54bWxQSwECFAAUAAAACACH&#10;TuJAMy8FnjsAAAA5AAAAEAAAAAAAAAABACAAAAASAQAAZHJzL3NoYXBleG1sLnhtbFBLBQYAAAAA&#10;BgAGAFsBAAC8AwAAAAA=&#10;">
                      <v:fill on="t" focussize="0,0"/>
                      <v:stroke weight="1.5pt" color="#000000 [3213]" miterlimit="8" joinstyle="miter"/>
                      <v:imagedata o:title=""/>
                      <o:lock v:ext="edit" aspectratio="f"/>
                      <v:textbox>
                        <w:txbxContent>
                          <w:p w14:paraId="197D6D62">
                            <w:pPr>
                              <w:jc w:val="center"/>
                            </w:pPr>
                            <w:r>
                              <w:t>Churn Prediction</w:t>
                            </w:r>
                          </w:p>
                        </w:txbxContent>
                      </v:textbox>
                    </v:rect>
                    <v:shape id="Straight Arrow Connector 28" o:spid="_x0000_s1026" o:spt="32" type="#_x0000_t32" style="position:absolute;left:590550;top:2333625;flip:x y;height:1219200;width:45085;" filled="f" stroked="t" coordsize="21600,21600" o:gfxdata="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Fzr&#10;n8EAAADjAAAADwAAAAAAAAABACAAAAAiAAAAZHJzL2Rvd25yZXYueG1sUEsBAhQAFAAAAAgAh07i&#10;QDMvBZ47AAAAOQAAABAAAAAAAAAAAQAgAAAAEAEAAGRycy9zaGFwZXhtbC54bWxQSwUGAAAAAAYA&#10;BgBbAQAAugMAAAAA&#10;">
                      <v:fill on="f" focussize="0,0"/>
                      <v:stroke weight="1.25pt" color="#000000 [3213]" miterlimit="8" joinstyle="miter" endarrow="block"/>
                      <v:imagedata o:title=""/>
                      <o:lock v:ext="edit" aspectratio="f"/>
                    </v:shape>
                    <v:rect id="Rectangle 33" o:spid="_x0000_s1026" o:spt="1" style="position:absolute;left:76200;top:2733675;height:523875;width:1257300;v-text-anchor:middle;" fillcolor="#FFFFFF [3201]" filled="t" stroked="t" coordsize="21600,21600" o:gfxdata="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1yQ&#10;OsEAAADhAAAADwAAAAAAAAABACAAAAAiAAAAZHJzL2Rvd25yZXYueG1sUEsBAhQAFAAAAAgAh07i&#10;QDMvBZ47AAAAOQAAABAAAAAAAAAAAQAgAAAAEAEAAGRycy9zaGFwZXhtbC54bWxQSwUGAAAAAAYA&#10;BgBbAQAAugMAAAAA&#10;">
                      <v:fill on="t" focussize="0,0"/>
                      <v:stroke weight="1.5pt" color="#000000 [3213]" miterlimit="8" joinstyle="miter"/>
                      <v:imagedata o:title=""/>
                      <o:lock v:ext="edit" aspectratio="f"/>
                      <v:textbox>
                        <w:txbxContent>
                          <w:p w14:paraId="7551F54E">
                            <w:pPr>
                              <w:jc w:val="center"/>
                            </w:pPr>
                            <w:r>
                              <w:t>Retention Strategy</w:t>
                            </w:r>
                          </w:p>
                        </w:txbxContent>
                      </v:textbox>
                    </v:rect>
                    <v:group id="Group 38" o:spid="_x0000_s1026" o:spt="203" style="position:absolute;left:2124075;top:2695575;height:647700;width:1704975;" coordsize="1704975,647700" o:gfxdata="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G5kOl/BAAAA4gAAAA8AAAAAAAAAAQAgAAAAIgAAAGRycy9kb3ducmV2&#10;LnhtbFBLAQIUABQAAAAIAIdO4kAzLwWeOwAAADkAAAAVAAAAAAAAAAEAIAAAABABAABkcnMvZ3Jv&#10;dXBzaGFwZXhtbC54bWxQSwUGAAAAAAYABgBgAQAAzQMAAAAA&#10;">
                      <o:lock v:ext="edit" aspectratio="f"/>
                      <v:line id="Straight Connector 34" o:spid="_x0000_s1026" o:spt="20" style="position:absolute;left:0;top:361950;height:285750;width:19050;" filled="f" stroked="t" coordsize="21600,21600" o:gfxdata="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h59nMQAAADiAAAADwAAAAAAAAABACAAAAAiAAAAZHJzL2Rvd25yZXYueG1sUEsBAhQAFAAAAAgA&#10;h07iQDMvBZ47AAAAOQAAABAAAAAAAAAAAQAgAAAAEwEAAGRycy9zaGFwZXhtbC54bWxQSwUGAAAA&#10;AAYABgBbAQAAvQMAAAAA&#10;">
                        <v:fill on="f" focussize="0,0"/>
                        <v:stroke weight="1.75pt" color="#000000 [3213]" miterlimit="8" joinstyle="miter"/>
                        <v:imagedata o:title=""/>
                        <o:lock v:ext="edit" aspectratio="f"/>
                      </v:line>
                      <v:line id="Straight Connector 35" o:spid="_x0000_s1026" o:spt="20" style="position:absolute;left:9525;top:628650;flip:y;height:9525;width:1447800;" filled="f" stroked="t" coordsize="21600,21600" o:gfxdata="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3Si/nFAAAA4wAAAA8AAAAAAAAAAQAgAAAAIgAAAGRycy9kb3ducmV2LnhtbFBLAQIUABQAAAAI&#10;AIdO4kAzLwWeOwAAADkAAAAQAAAAAAAAAAEAIAAAABQBAABkcnMvc2hhcGV4bWwueG1sUEsFBgAA&#10;AAAGAAYAWwEAAL4DAAAAAA==&#10;">
                        <v:fill on="f" focussize="0,0"/>
                        <v:stroke weight="1.75pt" color="#000000 [3213]" miterlimit="8" joinstyle="miter"/>
                        <v:imagedata o:title=""/>
                        <o:lock v:ext="edit" aspectratio="f"/>
                      </v:line>
                      <v:shape id="Straight Arrow Connector 36" o:spid="_x0000_s1026" o:spt="32" type="#_x0000_t32" style="position:absolute;left:1466850;top:0;flip:y;height:628650;width:238125;" filled="f" stroked="t" coordsize="21600,21600" o:gfxdata="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TtsEwwAAAOIAAAAPAAAAAAAAAAEAIAAAACIAAABkcnMvZG93bnJldi54bWxQSwECFAAUAAAACACH&#10;TuJAMy8FnjsAAAA5AAAAEAAAAAAAAAABACAAAAASAQAAZHJzL3NoYXBleG1sLnhtbFBLBQYAAAAA&#10;BgAGAFsBAAC8AwAAAAA=&#10;">
                        <v:fill on="f" focussize="0,0"/>
                        <v:stroke weight="1.75pt" color="#000000 [3213]" miterlimit="8" joinstyle="miter" endarrow="block"/>
                        <v:imagedata o:title=""/>
                        <o:lock v:ext="edit" aspectratio="f"/>
                      </v:shape>
                    </v:group>
                  </v:group>
                  <v:shape id="Straight Arrow Connector 42" o:spid="_x0000_s1026" o:spt="32" type="#_x0000_t32" style="position:absolute;left:2914650;top:1514475;flip:y;height:1095375;width:828675;" filled="f" stroked="t" coordsize="21600,21600" o:gfxdata="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eo&#10;JrHCAAAA4gAAAA8AAAAAAAAAAQAgAAAAIgAAAGRycy9kb3ducmV2LnhtbFBLAQIUABQAAAAIAIdO&#10;4kAzLwWeOwAAADkAAAAQAAAAAAAAAAEAIAAAABEBAABkcnMvc2hhcGV4bWwueG1sUEsFBgAAAAAG&#10;AAYAWwEAALsDAAAAAA==&#10;">
                    <v:fill on="f" focussize="0,0"/>
                    <v:stroke weight="1.5pt" color="#000000 [3213]" miterlimit="8" joinstyle="miter" endarrow="block"/>
                    <v:imagedata o:title=""/>
                    <o:lock v:ext="edit" aspectratio="f"/>
                  </v:shape>
                </v:group>
              </v:group>
            </w:pict>
          </mc:Fallback>
        </mc:AlternateContent>
      </w:r>
    </w:p>
    <w:p w14:paraId="3C9348CC">
      <w:pPr>
        <w:spacing w:after="0" w:line="360" w:lineRule="auto"/>
        <w:jc w:val="both"/>
        <w:rPr>
          <w:rFonts w:ascii="Times New Roman" w:hAnsi="Times New Roman" w:cs="Times New Roman"/>
          <w:sz w:val="24"/>
          <w:szCs w:val="24"/>
        </w:rPr>
      </w:pPr>
    </w:p>
    <w:p w14:paraId="795CA15B">
      <w:pPr>
        <w:spacing w:after="0" w:line="360" w:lineRule="auto"/>
        <w:jc w:val="both"/>
        <w:rPr>
          <w:rFonts w:ascii="Times New Roman" w:hAnsi="Times New Roman" w:cs="Times New Roman"/>
          <w:sz w:val="24"/>
          <w:szCs w:val="24"/>
        </w:rPr>
      </w:pPr>
    </w:p>
    <w:p w14:paraId="71A72BCC">
      <w:pPr>
        <w:spacing w:after="0" w:line="360" w:lineRule="auto"/>
        <w:jc w:val="both"/>
        <w:rPr>
          <w:rFonts w:ascii="Times New Roman" w:hAnsi="Times New Roman" w:cs="Times New Roman"/>
          <w:sz w:val="24"/>
          <w:szCs w:val="24"/>
        </w:rPr>
      </w:pPr>
    </w:p>
    <w:p w14:paraId="3548282C">
      <w:pPr>
        <w:spacing w:after="0" w:line="360" w:lineRule="auto"/>
        <w:jc w:val="both"/>
        <w:rPr>
          <w:rFonts w:ascii="Times New Roman" w:hAnsi="Times New Roman" w:cs="Times New Roman"/>
          <w:sz w:val="24"/>
          <w:szCs w:val="24"/>
        </w:rPr>
      </w:pPr>
    </w:p>
    <w:p w14:paraId="2C39EB97">
      <w:pPr>
        <w:spacing w:after="0" w:line="360" w:lineRule="auto"/>
        <w:jc w:val="both"/>
        <w:rPr>
          <w:rFonts w:ascii="Times New Roman" w:hAnsi="Times New Roman" w:cs="Times New Roman"/>
          <w:sz w:val="24"/>
          <w:szCs w:val="24"/>
        </w:rPr>
      </w:pPr>
    </w:p>
    <w:p w14:paraId="450FBDE5">
      <w:pPr>
        <w:spacing w:after="0" w:line="360" w:lineRule="auto"/>
        <w:jc w:val="both"/>
        <w:rPr>
          <w:rFonts w:ascii="Times New Roman" w:hAnsi="Times New Roman" w:cs="Times New Roman"/>
          <w:sz w:val="24"/>
          <w:szCs w:val="24"/>
        </w:rPr>
      </w:pPr>
    </w:p>
    <w:p w14:paraId="07F4E352">
      <w:pPr>
        <w:spacing w:after="0" w:line="360" w:lineRule="auto"/>
        <w:jc w:val="both"/>
        <w:rPr>
          <w:rFonts w:ascii="Times New Roman" w:hAnsi="Times New Roman" w:cs="Times New Roman"/>
          <w:sz w:val="24"/>
          <w:szCs w:val="24"/>
        </w:rPr>
      </w:pPr>
    </w:p>
    <w:p w14:paraId="58C16E32">
      <w:pPr>
        <w:spacing w:after="0" w:line="360" w:lineRule="auto"/>
        <w:jc w:val="both"/>
        <w:rPr>
          <w:rFonts w:ascii="Times New Roman" w:hAnsi="Times New Roman" w:cs="Times New Roman"/>
          <w:sz w:val="24"/>
          <w:szCs w:val="24"/>
        </w:rPr>
      </w:pPr>
    </w:p>
    <w:p w14:paraId="0FAD50DB">
      <w:pPr>
        <w:spacing w:after="0" w:line="360" w:lineRule="auto"/>
        <w:jc w:val="both"/>
        <w:rPr>
          <w:rFonts w:ascii="Times New Roman" w:hAnsi="Times New Roman" w:cs="Times New Roman"/>
          <w:sz w:val="24"/>
          <w:szCs w:val="24"/>
        </w:rPr>
      </w:pPr>
    </w:p>
    <w:p w14:paraId="07038920">
      <w:pPr>
        <w:spacing w:after="0" w:line="360" w:lineRule="auto"/>
        <w:jc w:val="both"/>
        <w:rPr>
          <w:rFonts w:ascii="Times New Roman" w:hAnsi="Times New Roman" w:cs="Times New Roman"/>
          <w:sz w:val="24"/>
          <w:szCs w:val="24"/>
        </w:rPr>
      </w:pPr>
    </w:p>
    <w:p w14:paraId="2DB04081">
      <w:pPr>
        <w:spacing w:after="0" w:line="360" w:lineRule="auto"/>
        <w:jc w:val="both"/>
        <w:rPr>
          <w:rFonts w:ascii="Times New Roman" w:hAnsi="Times New Roman" w:cs="Times New Roman"/>
          <w:sz w:val="24"/>
          <w:szCs w:val="24"/>
        </w:rPr>
      </w:pPr>
    </w:p>
    <w:p w14:paraId="5DA77153">
      <w:pPr>
        <w:pStyle w:val="5"/>
        <w:bidi w:val="0"/>
        <w:spacing w:line="360" w:lineRule="auto"/>
        <w:jc w:val="center"/>
        <w:rPr>
          <w:rFonts w:ascii="Times New Roman" w:hAnsi="Times New Roman" w:cs="Times New Roman"/>
          <w:szCs w:val="24"/>
        </w:rPr>
      </w:pPr>
      <w:bookmarkStart w:id="37" w:name="_Hlk184217299"/>
      <w:r>
        <w:t>Fig</w:t>
      </w:r>
      <w:r>
        <w:rPr>
          <w:rFonts w:hint="default"/>
          <w:lang w:val="en-US"/>
        </w:rPr>
        <w:t>ure</w:t>
      </w:r>
      <w:r>
        <w:t xml:space="preserve"> 3.</w:t>
      </w:r>
      <w:r>
        <w:rPr>
          <w:rFonts w:hint="default"/>
          <w:lang w:val="en-US"/>
        </w:rPr>
        <w:t>3</w:t>
      </w:r>
      <w:r>
        <w:t xml:space="preserve"> Proposed ML-</w:t>
      </w:r>
      <w:r>
        <w:rPr>
          <w:rFonts w:hint="default"/>
          <w:lang w:val="en-US"/>
        </w:rPr>
        <w:t>B</w:t>
      </w:r>
      <w:r>
        <w:t>ased Framework for Customer Churn Prediction</w:t>
      </w:r>
    </w:p>
    <w:bookmarkEnd w:id="37"/>
    <w:p w14:paraId="7BB35C88">
      <w:pPr>
        <w:spacing w:after="0" w:line="360" w:lineRule="auto"/>
        <w:jc w:val="both"/>
        <w:rPr>
          <w:b/>
          <w:bCs/>
        </w:rPr>
      </w:pPr>
      <w:bookmarkStart w:id="38" w:name="_Toc183163349"/>
      <w:r>
        <w:rPr>
          <w:b/>
          <w:bCs/>
        </w:rPr>
        <w:t>Data Collection</w:t>
      </w:r>
      <w:bookmarkEnd w:id="38"/>
    </w:p>
    <w:p w14:paraId="2AF1D66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Sources:</w:t>
      </w:r>
      <w:r>
        <w:rPr>
          <w:rFonts w:ascii="Times New Roman" w:hAnsi="Times New Roman" w:cs="Times New Roman"/>
          <w:sz w:val="24"/>
          <w:szCs w:val="24"/>
        </w:rPr>
        <w:br w:type="textWrapping"/>
      </w:r>
      <w:r>
        <w:rPr>
          <w:rFonts w:ascii="Times New Roman" w:hAnsi="Times New Roman" w:cs="Times New Roman"/>
          <w:sz w:val="24"/>
          <w:szCs w:val="24"/>
        </w:rPr>
        <w:t>The data source for this study was the customer database of a telecommunications company, specifically MTN or Airtel. This database contained detailed records of customer interactions, usage patterns, and churn history. Additionally, a public dataset from the UCI Machine Learning Repository was used to supplement the primary data, providing a more robust analysis and enhancing the generalizability of the findings.</w:t>
      </w:r>
    </w:p>
    <w:p w14:paraId="1AB9FC3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Dataset Composition:</w:t>
      </w:r>
      <w:r>
        <w:rPr>
          <w:rFonts w:ascii="Times New Roman" w:hAnsi="Times New Roman" w:cs="Times New Roman"/>
          <w:sz w:val="24"/>
          <w:szCs w:val="24"/>
        </w:rPr>
        <w:br w:type="textWrapping"/>
      </w:r>
      <w:r>
        <w:rPr>
          <w:rFonts w:ascii="Times New Roman" w:hAnsi="Times New Roman" w:cs="Times New Roman"/>
          <w:sz w:val="24"/>
          <w:szCs w:val="24"/>
        </w:rPr>
        <w:t>The dataset comprised customer demographics (e.g., age, gender, subscription type), service usage data (e.g., call duration, data consumption), billing information (e.g., monthly spending), and churn status (whether a customer had churned or remained). The dataset contained 6,915 customer records, with features selected based on their relevance to churn prediction.</w:t>
      </w:r>
    </w:p>
    <w:p w14:paraId="6C0D8D9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Collection Methods:</w:t>
      </w:r>
      <w:r>
        <w:rPr>
          <w:rFonts w:ascii="Times New Roman" w:hAnsi="Times New Roman" w:cs="Times New Roman"/>
          <w:sz w:val="24"/>
          <w:szCs w:val="24"/>
        </w:rPr>
        <w:br w:type="textWrapping"/>
      </w:r>
      <w:r>
        <w:rPr>
          <w:rFonts w:ascii="Times New Roman" w:hAnsi="Times New Roman" w:cs="Times New Roman"/>
          <w:sz w:val="24"/>
          <w:szCs w:val="24"/>
        </w:rPr>
        <w:t>Data was extracted from the telecommunications company’s customer portals, and public datasets were accessed via online repositories. The selected features were pertinent to churn prediction, ensuring a comprehensive dataset aligned with the study’s objectives.</w:t>
      </w:r>
    </w:p>
    <w:p w14:paraId="5EFCC75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Ethical Considerations:</w:t>
      </w:r>
      <w:r>
        <w:rPr>
          <w:rFonts w:ascii="Times New Roman" w:hAnsi="Times New Roman" w:cs="Times New Roman"/>
          <w:sz w:val="24"/>
          <w:szCs w:val="24"/>
        </w:rPr>
        <w:br w:type="textWrapping"/>
      </w:r>
      <w:r>
        <w:rPr>
          <w:rFonts w:ascii="Times New Roman" w:hAnsi="Times New Roman" w:cs="Times New Roman"/>
          <w:sz w:val="24"/>
          <w:szCs w:val="24"/>
        </w:rPr>
        <w:t>Informed consent was obtained for any primary data collected. Data anonymization techniques were applied to safeguard customer privacy and comply with data protection regulations such as GDPR (Bryman &amp; Bell, 2015).</w:t>
      </w:r>
    </w:p>
    <w:p w14:paraId="22795D4F">
      <w:pPr>
        <w:pStyle w:val="3"/>
        <w:numPr>
          <w:ilvl w:val="0"/>
          <w:numId w:val="0"/>
        </w:numPr>
        <w:spacing w:line="360" w:lineRule="auto"/>
        <w:jc w:val="both"/>
      </w:pPr>
      <w:bookmarkStart w:id="39" w:name="_Toc183163350"/>
      <w:r>
        <w:rPr>
          <w:rFonts w:hint="default"/>
          <w:lang w:val="en-US"/>
        </w:rPr>
        <w:t>3.4</w:t>
      </w:r>
      <w:r>
        <w:rPr>
          <w:rFonts w:hint="default"/>
          <w:lang w:val="en-US"/>
        </w:rPr>
        <w:tab/>
      </w:r>
      <w:r>
        <w:t>Data Preprocessing</w:t>
      </w:r>
      <w:bookmarkEnd w:id="39"/>
    </w:p>
    <w:p w14:paraId="24FD525A">
      <w:pPr>
        <w:spacing w:line="360" w:lineRule="auto"/>
        <w:rPr>
          <w:rFonts w:ascii="Times New Roman" w:hAnsi="Times New Roman" w:cs="Times New Roman"/>
          <w:sz w:val="24"/>
          <w:szCs w:val="24"/>
        </w:rPr>
      </w:pPr>
      <w:r>
        <w:rPr>
          <w:rFonts w:ascii="Times New Roman" w:hAnsi="Times New Roman" w:cs="Times New Roman"/>
          <w:b/>
          <w:bCs/>
          <w:sz w:val="24"/>
          <w:szCs w:val="24"/>
        </w:rPr>
        <w:t>Min-Max Scaling and Normalization:</w:t>
      </w:r>
    </w:p>
    <w:p w14:paraId="254D1872">
      <w:pPr>
        <w:numPr>
          <w:ilvl w:val="0"/>
          <w:numId w:val="9"/>
        </w:numPr>
        <w:spacing w:line="360" w:lineRule="auto"/>
        <w:rPr>
          <w:rFonts w:ascii="Times New Roman" w:hAnsi="Times New Roman" w:cs="Times New Roman"/>
          <w:sz w:val="24"/>
          <w:szCs w:val="24"/>
        </w:rPr>
      </w:pPr>
      <w:r>
        <w:rPr>
          <w:rFonts w:ascii="Times New Roman" w:hAnsi="Times New Roman" w:cs="Times New Roman"/>
          <w:b/>
          <w:bCs/>
          <w:sz w:val="24"/>
          <w:szCs w:val="24"/>
        </w:rPr>
        <w:t>Identify Numerical Features:</w:t>
      </w:r>
      <w:r>
        <w:rPr>
          <w:rFonts w:ascii="Times New Roman" w:hAnsi="Times New Roman" w:cs="Times New Roman"/>
          <w:sz w:val="24"/>
          <w:szCs w:val="24"/>
        </w:rPr>
        <w:t xml:space="preserve"> Select the numerical features in the dataset that require scaling (e.g., monthly spending, call duration).</w:t>
      </w:r>
    </w:p>
    <w:p w14:paraId="19AF8769">
      <w:pPr>
        <w:numPr>
          <w:ilvl w:val="0"/>
          <w:numId w:val="9"/>
        </w:numPr>
        <w:spacing w:line="360" w:lineRule="auto"/>
        <w:rPr>
          <w:rFonts w:ascii="Times New Roman" w:hAnsi="Times New Roman" w:cs="Times New Roman"/>
          <w:sz w:val="24"/>
          <w:szCs w:val="24"/>
        </w:rPr>
      </w:pPr>
      <w:r>
        <w:rPr>
          <w:rFonts w:ascii="Times New Roman" w:hAnsi="Times New Roman" w:cs="Times New Roman"/>
          <w:b/>
          <w:bCs/>
          <w:sz w:val="24"/>
          <w:szCs w:val="24"/>
        </w:rPr>
        <w:t>Calculate Min and Max Values:</w:t>
      </w:r>
      <w:r>
        <w:rPr>
          <w:rFonts w:ascii="Times New Roman" w:hAnsi="Times New Roman" w:cs="Times New Roman"/>
          <w:sz w:val="24"/>
          <w:szCs w:val="24"/>
        </w:rPr>
        <w:t xml:space="preserve"> For each numerical feature, determine the minimum and maximum values across all data points.</w:t>
      </w:r>
    </w:p>
    <w:p w14:paraId="7DEA913F">
      <w:pPr>
        <w:pStyle w:val="37"/>
        <w:spacing w:after="0" w:line="360" w:lineRule="auto"/>
        <w:jc w:val="both"/>
        <w:rPr>
          <w:rFonts w:ascii="Times New Roman" w:hAnsi="Times New Roman" w:cs="Times New Roman"/>
          <w:sz w:val="24"/>
          <w:szCs w:val="24"/>
        </w:rPr>
      </w:pPr>
      <w:r>
        <w:rPr>
          <w:rFonts w:ascii="Times New Roman" w:hAnsi="Times New Roman" w:cs="Times New Roman"/>
          <w:sz w:val="24"/>
          <w:szCs w:val="24"/>
        </w:rPr>
        <w:t>Min-Max Scaling is a normalization technique that rescales each feature (column) of the data to a fixed range, typically between 0 and 1. It is denoted as follows:</w:t>
      </w:r>
    </w:p>
    <w:p w14:paraId="2AD31061">
      <w:pPr>
        <w:pStyle w:val="37"/>
        <w:spacing w:after="0" w:line="360" w:lineRule="auto"/>
        <w:jc w:val="center"/>
        <w:rPr>
          <w:rFonts w:ascii="Times New Roman" w:hAnsi="Times New Roman" w:cs="Times New Roman"/>
          <w:sz w:val="24"/>
          <w:szCs w:val="24"/>
        </w:rPr>
      </w:pPr>
      <m:oMathPara>
        <m:oMathParaPr>
          <m:jc m:val="center"/>
        </m:oMathParaPr>
        <m:oMath>
          <m:sSup>
            <m:sSupPr>
              <m:ctrlPr>
                <w:rPr>
                  <w:rFonts w:ascii="Cambria Math" w:hAnsi="Cambria Math" w:cs="Times New Roman"/>
                  <w:i/>
                  <w:sz w:val="24"/>
                  <w:szCs w:val="24"/>
                </w:rPr>
              </m:ctrlPr>
            </m:sSupPr>
            <m:e>
              <m:r>
                <m:rPr/>
                <w:rPr>
                  <w:rFonts w:ascii="Cambria Math" w:hAnsi="Cambria Math" w:cs="Times New Roman"/>
                  <w:sz w:val="24"/>
                  <w:szCs w:val="24"/>
                </w:rPr>
                <m:t>x</m:t>
              </m:r>
              <m:ctrlPr>
                <w:rPr>
                  <w:rFonts w:ascii="Cambria Math" w:hAnsi="Cambria Math" w:cs="Times New Roman"/>
                  <w:i/>
                  <w:sz w:val="24"/>
                  <w:szCs w:val="24"/>
                </w:rPr>
              </m:ctrlPr>
            </m:e>
            <m:sup>
              <m:r>
                <m:rPr/>
                <w:rPr>
                  <w:rFonts w:ascii="Cambria Math" w:hAnsi="Cambria Math" w:cs="Times New Roman"/>
                  <w:sz w:val="24"/>
                  <w:szCs w:val="24"/>
                </w:rPr>
                <m:t>'</m:t>
              </m:r>
              <m:ctrlPr>
                <w:rPr>
                  <w:rFonts w:ascii="Cambria Math" w:hAnsi="Cambria Math" w:cs="Times New Roman"/>
                  <w:i/>
                  <w:sz w:val="24"/>
                  <w:szCs w:val="24"/>
                </w:rPr>
              </m:ctrlPr>
            </m:sup>
          </m:sSup>
          <m:r>
            <m:rPr/>
            <w:rPr>
              <w:rFonts w:ascii="Cambria Math" w:hAnsi="Cambria Math" w:cs="Times New Roman"/>
              <w:sz w:val="24"/>
              <w:szCs w:val="24"/>
            </w:rPr>
            <m:t xml:space="preserve">= </m:t>
          </m:r>
          <m:f>
            <m:fPr>
              <m:ctrlPr>
                <w:rPr>
                  <w:rFonts w:ascii="Cambria Math" w:hAnsi="Cambria Math" w:cs="Times New Roman"/>
                  <w:i/>
                  <w:sz w:val="24"/>
                  <w:szCs w:val="24"/>
                </w:rPr>
              </m:ctrlPr>
            </m:fPr>
            <m:num>
              <m:r>
                <m:rPr/>
                <w:rPr>
                  <w:rFonts w:ascii="Cambria Math" w:hAnsi="Cambria Math" w:cs="Times New Roman"/>
                  <w:sz w:val="24"/>
                  <w:szCs w:val="24"/>
                </w:rPr>
                <m:t xml:space="preserve">x− </m:t>
              </m:r>
              <m:sSub>
                <m:sSubPr>
                  <m:ctrlPr>
                    <w:rPr>
                      <w:rFonts w:ascii="Cambria Math" w:hAnsi="Cambria Math" w:cs="Times New Roman"/>
                      <w:i/>
                      <w:sz w:val="24"/>
                      <w:szCs w:val="24"/>
                    </w:rPr>
                  </m:ctrlPr>
                </m:sSubPr>
                <m:e>
                  <m:r>
                    <m:rPr/>
                    <w:rPr>
                      <w:rFonts w:ascii="Cambria Math" w:hAnsi="Cambria Math" w:cs="Times New Roman"/>
                      <w:sz w:val="24"/>
                      <w:szCs w:val="24"/>
                    </w:rPr>
                    <m:t>x</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ctrlPr>
                <w:rPr>
                  <w:rFonts w:ascii="Cambria Math" w:hAnsi="Cambria Math" w:cs="Times New Roman"/>
                  <w:i/>
                  <w:sz w:val="24"/>
                  <w:szCs w:val="24"/>
                </w:rPr>
              </m:ctrlPr>
            </m:num>
            <m:den>
              <m:sSub>
                <m:sSubPr>
                  <m:ctrlPr>
                    <w:rPr>
                      <w:rFonts w:ascii="Cambria Math" w:hAnsi="Cambria Math" w:cs="Times New Roman"/>
                      <w:i/>
                      <w:sz w:val="24"/>
                      <w:szCs w:val="24"/>
                    </w:rPr>
                  </m:ctrlPr>
                </m:sSubPr>
                <m:e>
                  <m:r>
                    <m:rPr/>
                    <w:rPr>
                      <w:rFonts w:ascii="Cambria Math" w:hAnsi="Cambria Math" w:cs="Times New Roman"/>
                      <w:sz w:val="24"/>
                      <w:szCs w:val="24"/>
                    </w:rPr>
                    <m:t>x</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r>
                <m:rPr/>
                <w:rPr>
                  <w:rFonts w:ascii="Cambria Math" w:hAnsi="Cambria Math" w:cs="Times New Roman"/>
                  <w:sz w:val="24"/>
                  <w:szCs w:val="24"/>
                </w:rPr>
                <m:t xml:space="preserve">− </m:t>
              </m:r>
              <m:sSub>
                <m:sSubPr>
                  <m:ctrlPr>
                    <w:rPr>
                      <w:rFonts w:ascii="Cambria Math" w:hAnsi="Cambria Math" w:cs="Times New Roman"/>
                      <w:i/>
                      <w:sz w:val="24"/>
                      <w:szCs w:val="24"/>
                    </w:rPr>
                  </m:ctrlPr>
                </m:sSubPr>
                <m:e>
                  <m:r>
                    <m:rPr/>
                    <w:rPr>
                      <w:rFonts w:ascii="Cambria Math" w:hAnsi="Cambria Math" w:cs="Times New Roman"/>
                      <w:sz w:val="24"/>
                      <w:szCs w:val="24"/>
                    </w:rPr>
                    <m:t>x</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ctrlPr>
                <w:rPr>
                  <w:rFonts w:ascii="Cambria Math" w:hAnsi="Cambria Math" w:cs="Times New Roman"/>
                  <w:i/>
                  <w:sz w:val="24"/>
                  <w:szCs w:val="24"/>
                </w:rPr>
              </m:ctrlPr>
            </m:den>
          </m:f>
        </m:oMath>
      </m:oMathPara>
    </w:p>
    <w:p w14:paraId="7E2821B1">
      <w:pPr>
        <w:pStyle w:val="37"/>
        <w:spacing w:after="0" w:line="360" w:lineRule="auto"/>
        <w:jc w:val="both"/>
        <w:rPr>
          <w:rFonts w:ascii="Times New Roman" w:hAnsi="Times New Roman" w:cs="Times New Roman" w:eastAsiaTheme="minorEastAsia"/>
          <w:sz w:val="24"/>
          <w:szCs w:val="24"/>
        </w:rPr>
      </w:pPr>
      <w:r>
        <w:rPr>
          <w:rFonts w:ascii="Times New Roman" w:hAnsi="Times New Roman" w:cs="Times New Roman"/>
          <w:sz w:val="24"/>
          <w:szCs w:val="24"/>
        </w:rPr>
        <w:t xml:space="preserve">where, </w:t>
      </w:r>
      <m:oMath>
        <m:r>
          <m:rPr/>
          <w:rPr>
            <w:rFonts w:ascii="Cambria Math" w:hAnsi="Cambria Math" w:cs="Times New Roman"/>
            <w:sz w:val="24"/>
            <w:szCs w:val="24"/>
          </w:rPr>
          <m:t>x</m:t>
        </m:r>
      </m:oMath>
      <w:r>
        <w:rPr>
          <w:rFonts w:ascii="Times New Roman" w:hAnsi="Times New Roman" w:cs="Times New Roman" w:eastAsiaTheme="minorEastAsia"/>
          <w:sz w:val="24"/>
          <w:szCs w:val="24"/>
        </w:rPr>
        <w:t xml:space="preserve"> is the original value, </w:t>
      </w:r>
      <m:oMath>
        <m:sSub>
          <m:sSubPr>
            <m:ctrlPr>
              <w:rPr>
                <w:rFonts w:ascii="Cambria Math" w:hAnsi="Cambria Math" w:cs="Times New Roman"/>
                <w:i/>
                <w:sz w:val="24"/>
                <w:szCs w:val="24"/>
              </w:rPr>
            </m:ctrlPr>
          </m:sSubPr>
          <m:e>
            <m:r>
              <m:rPr/>
              <w:rPr>
                <w:rFonts w:ascii="Cambria Math" w:hAnsi="Cambria Math" w:cs="Times New Roman"/>
                <w:sz w:val="24"/>
                <w:szCs w:val="24"/>
              </w:rPr>
              <m:t>x</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oMath>
      <w:r>
        <w:rPr>
          <w:rFonts w:ascii="Times New Roman" w:hAnsi="Times New Roman" w:cs="Times New Roman" w:eastAsiaTheme="minorEastAsia"/>
          <w:sz w:val="24"/>
          <w:szCs w:val="24"/>
        </w:rPr>
        <w:t xml:space="preserve"> is the minimum value in column, </w:t>
      </w:r>
      <m:oMath>
        <m:sSub>
          <m:sSubPr>
            <m:ctrlPr>
              <w:rPr>
                <w:rFonts w:ascii="Cambria Math" w:hAnsi="Cambria Math" w:cs="Times New Roman"/>
                <w:i/>
                <w:sz w:val="24"/>
                <w:szCs w:val="24"/>
              </w:rPr>
            </m:ctrlPr>
          </m:sSubPr>
          <m:e>
            <m:r>
              <m:rPr/>
              <w:rPr>
                <w:rFonts w:ascii="Cambria Math" w:hAnsi="Cambria Math" w:cs="Times New Roman"/>
                <w:sz w:val="24"/>
                <w:szCs w:val="24"/>
              </w:rPr>
              <m:t>x</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oMath>
      <w:r>
        <w:rPr>
          <w:rFonts w:ascii="Times New Roman" w:hAnsi="Times New Roman" w:cs="Times New Roman" w:eastAsiaTheme="minorEastAsia"/>
          <w:sz w:val="24"/>
          <w:szCs w:val="24"/>
        </w:rPr>
        <w:t xml:space="preserve"> is the maximum value in column, and </w:t>
      </w:r>
      <m:oMath>
        <m:sSup>
          <m:sSupPr>
            <m:ctrlPr>
              <w:rPr>
                <w:rFonts w:ascii="Cambria Math" w:hAnsi="Cambria Math" w:cs="Times New Roman"/>
                <w:i/>
                <w:sz w:val="24"/>
                <w:szCs w:val="24"/>
              </w:rPr>
            </m:ctrlPr>
          </m:sSupPr>
          <m:e>
            <m:r>
              <m:rPr/>
              <w:rPr>
                <w:rFonts w:ascii="Cambria Math" w:hAnsi="Cambria Math" w:cs="Times New Roman"/>
                <w:sz w:val="24"/>
                <w:szCs w:val="24"/>
              </w:rPr>
              <m:t>x</m:t>
            </m:r>
            <m:ctrlPr>
              <w:rPr>
                <w:rFonts w:ascii="Cambria Math" w:hAnsi="Cambria Math" w:cs="Times New Roman"/>
                <w:i/>
                <w:sz w:val="24"/>
                <w:szCs w:val="24"/>
              </w:rPr>
            </m:ctrlPr>
          </m:e>
          <m:sup>
            <m:r>
              <m:rPr/>
              <w:rPr>
                <w:rFonts w:ascii="Cambria Math" w:hAnsi="Cambria Math" w:cs="Times New Roman"/>
                <w:sz w:val="24"/>
                <w:szCs w:val="24"/>
              </w:rPr>
              <m:t>'</m:t>
            </m:r>
            <m:ctrlPr>
              <w:rPr>
                <w:rFonts w:ascii="Cambria Math" w:hAnsi="Cambria Math" w:cs="Times New Roman"/>
                <w:i/>
                <w:sz w:val="24"/>
                <w:szCs w:val="24"/>
              </w:rPr>
            </m:ctrlPr>
          </m:sup>
        </m:sSup>
      </m:oMath>
      <w:r>
        <w:rPr>
          <w:rFonts w:ascii="Times New Roman" w:hAnsi="Times New Roman" w:cs="Times New Roman" w:eastAsiaTheme="minorEastAsia"/>
          <w:sz w:val="24"/>
          <w:szCs w:val="24"/>
        </w:rPr>
        <w:t xml:space="preserve"> is the scaled value (between 0 and 1).</w:t>
      </w:r>
    </w:p>
    <w:p w14:paraId="64A175F0">
      <w:pPr>
        <w:spacing w:line="360" w:lineRule="auto"/>
        <w:ind w:left="720"/>
        <w:rPr>
          <w:rFonts w:ascii="Times New Roman" w:hAnsi="Times New Roman" w:cs="Times New Roman"/>
          <w:sz w:val="24"/>
          <w:szCs w:val="24"/>
        </w:rPr>
      </w:pPr>
    </w:p>
    <w:p w14:paraId="21367518">
      <w:pPr>
        <w:numPr>
          <w:ilvl w:val="0"/>
          <w:numId w:val="9"/>
        </w:numPr>
        <w:spacing w:line="360" w:lineRule="auto"/>
        <w:rPr>
          <w:rFonts w:ascii="Times New Roman" w:hAnsi="Times New Roman" w:cs="Times New Roman"/>
          <w:sz w:val="24"/>
          <w:szCs w:val="24"/>
        </w:rPr>
      </w:pPr>
      <w:r>
        <w:rPr>
          <w:rFonts w:ascii="Times New Roman" w:hAnsi="Times New Roman" w:cs="Times New Roman"/>
          <w:b/>
          <w:bCs/>
          <w:sz w:val="24"/>
          <w:szCs w:val="24"/>
        </w:rPr>
        <w:t>Check for Data Consistency:</w:t>
      </w:r>
      <w:r>
        <w:rPr>
          <w:rFonts w:ascii="Times New Roman" w:hAnsi="Times New Roman" w:cs="Times New Roman"/>
          <w:sz w:val="24"/>
          <w:szCs w:val="24"/>
        </w:rPr>
        <w:t xml:space="preserve"> Ensure that the scaled data is consistent and within the specified range, without outliers affecting the scaling process.</w:t>
      </w:r>
    </w:p>
    <w:p w14:paraId="72FCB433">
      <w:pPr>
        <w:numPr>
          <w:ilvl w:val="0"/>
          <w:numId w:val="9"/>
        </w:numPr>
        <w:spacing w:line="360" w:lineRule="auto"/>
      </w:pPr>
      <w:r>
        <w:rPr>
          <w:rFonts w:ascii="Times New Roman" w:hAnsi="Times New Roman" w:cs="Times New Roman"/>
          <w:b/>
          <w:bCs/>
          <w:sz w:val="24"/>
          <w:szCs w:val="24"/>
        </w:rPr>
        <w:t>Use Scaled Data:</w:t>
      </w:r>
      <w:r>
        <w:rPr>
          <w:rFonts w:ascii="Times New Roman" w:hAnsi="Times New Roman" w:cs="Times New Roman"/>
          <w:sz w:val="24"/>
          <w:szCs w:val="24"/>
        </w:rPr>
        <w:t xml:space="preserve"> The normalized data is now ready for input into machine learning models, ensuring that all features are on a comparable scale.</w:t>
      </w:r>
    </w:p>
    <w:p w14:paraId="6399ECA1">
      <w:pPr>
        <w:pStyle w:val="3"/>
        <w:spacing w:line="360" w:lineRule="auto"/>
      </w:pPr>
      <w:bookmarkStart w:id="40" w:name="_Toc183163351"/>
      <w:r>
        <w:t>3.5</w:t>
      </w:r>
      <w:r>
        <w:rPr>
          <w:rFonts w:hint="default"/>
          <w:lang w:val="en-US"/>
        </w:rPr>
        <w:tab/>
      </w:r>
      <w:r>
        <w:t>Feature Selection and</w:t>
      </w:r>
      <w:r>
        <w:rPr>
          <w:rFonts w:hint="default"/>
          <w:lang w:val="en-US"/>
        </w:rPr>
        <w:t xml:space="preserve"> Feature </w:t>
      </w:r>
      <w:r>
        <w:t>Engineering</w:t>
      </w:r>
      <w:bookmarkEnd w:id="40"/>
    </w:p>
    <w:p w14:paraId="2317D01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Techniques Used for Feature Selection:</w:t>
      </w:r>
    </w:p>
    <w:p w14:paraId="639759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this study, feature selection was performed using a combination of domain knowledge and statistical methods to identify the most influential factors impacting churn prediction. Key techniques included:</w:t>
      </w:r>
    </w:p>
    <w:p w14:paraId="4059033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Correlation Analysis:</w:t>
      </w:r>
      <w:r>
        <w:rPr>
          <w:rFonts w:ascii="Times New Roman" w:hAnsi="Times New Roman" w:cs="Times New Roman"/>
          <w:sz w:val="24"/>
          <w:szCs w:val="24"/>
        </w:rPr>
        <w:t xml:space="preserve"> A correlation matrix was computed to identify relationships between features. Strong correlations between independent variables (e.g., age, monthly spend) and the target variable (churn) were considered significant, as they indicate a potential impact on churn rates. Features with weak or no correlation to the target variable were excluded to simplify the model and reduce noise.</w:t>
      </w:r>
    </w:p>
    <w:p w14:paraId="31DD30F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Chi-Square Test:</w:t>
      </w:r>
      <w:r>
        <w:rPr>
          <w:rFonts w:ascii="Times New Roman" w:hAnsi="Times New Roman" w:cs="Times New Roman"/>
          <w:sz w:val="24"/>
          <w:szCs w:val="24"/>
        </w:rPr>
        <w:t xml:space="preserve"> For categorical data, the chi-square test was applied to evaluate the independence between each feature and the churn outcome. Features with a low p-value (typically &lt; 0.05) were considered significant, as they have a strong association with churn. Non-significant features were removed to avoid redundancy.</w:t>
      </w:r>
    </w:p>
    <w:p w14:paraId="0DAD5C3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Domain Knowledge:</w:t>
      </w:r>
      <w:r>
        <w:rPr>
          <w:rFonts w:ascii="Times New Roman" w:hAnsi="Times New Roman" w:cs="Times New Roman"/>
          <w:sz w:val="24"/>
          <w:szCs w:val="24"/>
        </w:rPr>
        <w:t xml:space="preserve"> Features such as customer demographics (age, gender), service usage (monthly spend, call frequency), and billing information were prioritized based on their relevance to customer churn. Expert knowledge of the telecommunications industry helped confirm the importance of these features.</w:t>
      </w:r>
    </w:p>
    <w:p w14:paraId="6ACE4B94">
      <w:pPr>
        <w:spacing w:after="0" w:line="360" w:lineRule="auto"/>
        <w:jc w:val="both"/>
      </w:pPr>
      <w:r>
        <w:rPr>
          <w:rFonts w:ascii="Times New Roman" w:hAnsi="Times New Roman" w:cs="Times New Roman"/>
          <w:sz w:val="24"/>
          <w:szCs w:val="24"/>
        </w:rPr>
        <w:t>By using these techniques, features such as customer age, plan type, and frequency of service usage were deemed significant, while variables like customer region (if unrelated to service quality or pricing) might have been excluded due to limited predictive power. This process ensures that only the most relevant features are retained for effective churn prediction.</w:t>
      </w:r>
    </w:p>
    <w:p w14:paraId="07366BD9">
      <w:pPr>
        <w:pStyle w:val="3"/>
        <w:spacing w:line="360" w:lineRule="auto"/>
      </w:pPr>
      <w:bookmarkStart w:id="41" w:name="_Toc183163352"/>
      <w:r>
        <w:t>3.6</w:t>
      </w:r>
      <w:r>
        <w:rPr>
          <w:rFonts w:hint="default"/>
          <w:lang w:val="en-US"/>
        </w:rPr>
        <w:tab/>
      </w:r>
      <w:r>
        <w:t>Development of Machine Learning Models</w:t>
      </w:r>
      <w:bookmarkEnd w:id="41"/>
    </w:p>
    <w:p w14:paraId="4DD419B4">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Selection of Machine Learning Models:</w:t>
      </w:r>
      <w:r>
        <w:rPr>
          <w:rFonts w:ascii="Times New Roman" w:hAnsi="Times New Roman" w:cs="Times New Roman"/>
          <w:sz w:val="24"/>
          <w:szCs w:val="24"/>
        </w:rPr>
        <w:t xml:space="preserve"> This study will focus on key models such as Extreme Gradient Boosting (XGBoost), Support Vector Machine, Random Forest and Decision Tree. These models are chosen for their simplicity, effectiveness, and interpretability in predicting churn.</w:t>
      </w:r>
    </w:p>
    <w:p w14:paraId="5CEAFF3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Justification for Chosen Models:</w:t>
      </w:r>
      <w:r>
        <w:rPr>
          <w:rFonts w:ascii="Times New Roman" w:hAnsi="Times New Roman" w:cs="Times New Roman"/>
          <w:sz w:val="24"/>
          <w:szCs w:val="24"/>
        </w:rPr>
        <w:t xml:space="preserve"> SVM is favored for its simplicity and ease of interpretation, using the hyperplane to split the feature space, allowing for straightforward insights into churn predictors. Decision trees are selected for their ability to provide clear decision rules and visual representation of decision paths. Random forests are included for their enhanced prediction accuracy through ensemble learning, which combines multiple decision trees to improve performance (Friedman, Hastie, and Tibshirani, 2021).</w:t>
      </w:r>
    </w:p>
    <w:p w14:paraId="3E4E696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Implementation Details:</w:t>
      </w:r>
      <w:r>
        <w:rPr>
          <w:rFonts w:ascii="Times New Roman" w:hAnsi="Times New Roman" w:cs="Times New Roman"/>
          <w:sz w:val="24"/>
          <w:szCs w:val="24"/>
        </w:rPr>
        <w:t xml:space="preserve"> The implementation of these models will be done using software tools and libraries such as Python’s scikit-learn, which provides robust machine learning functionalities and ease of use. This choice ensures that the implementation is both efficient and accessible.</w:t>
      </w:r>
    </w:p>
    <w:p w14:paraId="612E6EA1">
      <w:pPr>
        <w:pStyle w:val="3"/>
        <w:spacing w:line="360" w:lineRule="auto"/>
      </w:pPr>
      <w:bookmarkStart w:id="42" w:name="_Toc183163353"/>
      <w:r>
        <w:t>3.7</w:t>
      </w:r>
      <w:r>
        <w:rPr>
          <w:rFonts w:hint="default"/>
          <w:lang w:val="en-US"/>
        </w:rPr>
        <w:tab/>
      </w:r>
      <w:r>
        <w:rPr>
          <w:rFonts w:hint="default"/>
          <w:lang w:val="en-US"/>
        </w:rPr>
        <w:t xml:space="preserve">ML </w:t>
      </w:r>
      <w:r>
        <w:t>Model Training and Evaluation</w:t>
      </w:r>
      <w:bookmarkEnd w:id="42"/>
    </w:p>
    <w:p w14:paraId="4D570B0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Training Process for Each Model:</w:t>
      </w:r>
      <w:r>
        <w:rPr>
          <w:rFonts w:ascii="Times New Roman" w:hAnsi="Times New Roman" w:cs="Times New Roman"/>
          <w:sz w:val="24"/>
          <w:szCs w:val="24"/>
        </w:rPr>
        <w:t xml:space="preserve"> Each model will be trained using a training dataset. Hyperparameters will be optimized through grid search, which systematically evaluates different parameter combinations to enhance model performance.</w:t>
      </w:r>
    </w:p>
    <w:p w14:paraId="1F4DEA2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Evaluation Metrics Used:</w:t>
      </w:r>
      <w:r>
        <w:rPr>
          <w:rFonts w:ascii="Times New Roman" w:hAnsi="Times New Roman" w:cs="Times New Roman"/>
          <w:sz w:val="24"/>
          <w:szCs w:val="24"/>
        </w:rPr>
        <w:t xml:space="preserve"> Model performance will be evaluated using essential metrics such as accuracy, precision, recall, and F1-score. These metrics provide a comprehensive assessment of each model’s effectiveness in predicting churn and its ability to handle imbalanced data.</w:t>
      </w:r>
    </w:p>
    <w:p w14:paraId="0B1C83E8">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Cross-Validation and Hyperparameter Tuning:</w:t>
      </w:r>
      <w:r>
        <w:rPr>
          <w:rFonts w:ascii="Times New Roman" w:hAnsi="Times New Roman" w:cs="Times New Roman"/>
          <w:sz w:val="24"/>
          <w:szCs w:val="24"/>
        </w:rPr>
        <w:t xml:space="preserve"> Cross-validation techniques, such as k-fold cross-validation, will be employed to ensure the generalizability of the models. Hyperparameter tuning will be conducted to find the optimal parameters that maximize model performance, ensuring that the models perform well on unseen data.</w:t>
      </w:r>
    </w:p>
    <w:p w14:paraId="5FFD156D">
      <w:pPr>
        <w:spacing w:line="360" w:lineRule="auto"/>
        <w:rPr>
          <w:rFonts w:ascii="Times New Roman" w:hAnsi="Times New Roman" w:cs="Times New Roman"/>
          <w:b/>
          <w:bCs/>
          <w:sz w:val="24"/>
          <w:szCs w:val="24"/>
        </w:rPr>
      </w:pPr>
      <w:r>
        <w:rPr>
          <w:rFonts w:ascii="Times New Roman" w:hAnsi="Times New Roman" w:cs="Times New Roman"/>
          <w:b/>
          <w:bCs/>
          <w:sz w:val="24"/>
          <w:szCs w:val="24"/>
        </w:rPr>
        <w:t>Mathematical Expressions for Evaluation Metrics</w:t>
      </w:r>
    </w:p>
    <w:p w14:paraId="0B2BCEA4">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 Accuracy </w:t>
      </w:r>
      <w:r>
        <w:rPr>
          <w:rFonts w:ascii="Times New Roman" w:hAnsi="Times New Roman" w:cs="Times New Roman"/>
          <w:sz w:val="24"/>
          <w:szCs w:val="24"/>
        </w:rPr>
        <w:br w:type="textWrapping"/>
      </w:r>
      <w:r>
        <w:rPr>
          <w:rFonts w:ascii="Times New Roman" w:hAnsi="Times New Roman" w:cs="Times New Roman"/>
          <w:sz w:val="24"/>
          <w:szCs w:val="24"/>
        </w:rPr>
        <w:t>Accuracy measures the ratio of correctly predicted instances to the total number of instances:</w:t>
      </w:r>
    </w:p>
    <w:p w14:paraId="2AA32D77">
      <w:pPr>
        <w:spacing w:line="360" w:lineRule="auto"/>
        <w:jc w:val="center"/>
        <w:rPr>
          <w:rFonts w:ascii="Times New Roman" w:hAnsi="Times New Roman" w:cs="Times New Roman"/>
          <w:sz w:val="24"/>
          <w:szCs w:val="24"/>
        </w:rPr>
      </w:pPr>
      <m:oMathPara>
        <m:oMath>
          <m:r>
            <m:rPr/>
            <w:rPr>
              <w:rFonts w:ascii="Cambria Math" w:hAnsi="Cambria Math" w:cs="Times New Roman"/>
              <w:sz w:val="24"/>
              <w:szCs w:val="24"/>
            </w:rPr>
            <m:t>A=</m:t>
          </m:r>
          <m:f>
            <m:fPr>
              <m:ctrlPr>
                <w:rPr>
                  <w:rFonts w:ascii="Cambria Math" w:hAnsi="Cambria Math" w:cs="Times New Roman"/>
                  <w:i/>
                  <w:kern w:val="2"/>
                  <w:sz w:val="24"/>
                  <w:szCs w:val="24"/>
                  <w14:ligatures w14:val="standardContextual"/>
                </w:rPr>
              </m:ctrlPr>
            </m:fPr>
            <m:num>
              <m:r>
                <m:rPr/>
                <w:rPr>
                  <w:rFonts w:ascii="Cambria Math" w:hAnsi="Cambria Math" w:cs="Times New Roman"/>
                  <w:sz w:val="24"/>
                  <w:szCs w:val="24"/>
                </w:rPr>
                <m:t>TP+TN</m:t>
              </m:r>
              <m:ctrlPr>
                <w:rPr>
                  <w:rFonts w:ascii="Cambria Math" w:hAnsi="Cambria Math" w:cs="Times New Roman"/>
                  <w:i/>
                  <w:kern w:val="2"/>
                  <w:sz w:val="24"/>
                  <w:szCs w:val="24"/>
                  <w14:ligatures w14:val="standardContextual"/>
                </w:rPr>
              </m:ctrlPr>
            </m:num>
            <m:den>
              <m:r>
                <m:rPr/>
                <w:rPr>
                  <w:rFonts w:ascii="Cambria Math" w:hAnsi="Cambria Math" w:cs="Times New Roman"/>
                  <w:sz w:val="24"/>
                  <w:szCs w:val="24"/>
                </w:rPr>
                <m:t>TP+TN+FP+FN</m:t>
              </m:r>
              <m:ctrlPr>
                <w:rPr>
                  <w:rFonts w:ascii="Cambria Math" w:hAnsi="Cambria Math" w:cs="Times New Roman"/>
                  <w:i/>
                  <w:kern w:val="2"/>
                  <w:sz w:val="24"/>
                  <w:szCs w:val="24"/>
                  <w14:ligatures w14:val="standardContextual"/>
                </w:rPr>
              </m:ctrlPr>
            </m:den>
          </m:f>
        </m:oMath>
      </m:oMathPara>
    </w:p>
    <w:p w14:paraId="5113F76F">
      <w:pPr>
        <w:spacing w:line="360" w:lineRule="auto"/>
        <w:rPr>
          <w:rFonts w:ascii="Times New Roman" w:hAnsi="Times New Roman" w:cs="Times New Roman"/>
          <w:sz w:val="24"/>
          <w:szCs w:val="24"/>
        </w:rPr>
      </w:pPr>
    </w:p>
    <w:p w14:paraId="060848ED">
      <w:pPr>
        <w:spacing w:line="360" w:lineRule="auto"/>
        <w:rPr>
          <w:rFonts w:ascii="Times New Roman" w:hAnsi="Times New Roman" w:cs="Times New Roman"/>
          <w:sz w:val="24"/>
          <w:szCs w:val="24"/>
        </w:rPr>
      </w:pPr>
      <w:r>
        <w:rPr>
          <w:rFonts w:ascii="Times New Roman" w:hAnsi="Times New Roman" w:cs="Times New Roman"/>
          <w:sz w:val="24"/>
          <w:szCs w:val="24"/>
        </w:rPr>
        <w:t>Where:</w:t>
      </w:r>
    </w:p>
    <w:p w14:paraId="06E25949">
      <w:pPr>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TP: True Positives</w:t>
      </w:r>
    </w:p>
    <w:p w14:paraId="3487E6F0">
      <w:pPr>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TN: True Negatives</w:t>
      </w:r>
    </w:p>
    <w:p w14:paraId="5CB35F7A">
      <w:pPr>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FP: False Positives</w:t>
      </w:r>
    </w:p>
    <w:p w14:paraId="6862A070">
      <w:pPr>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FN: False Negatives</w:t>
      </w:r>
    </w:p>
    <w:p w14:paraId="2AB1CFB7">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2. Precision </w:t>
      </w:r>
      <w:r>
        <w:rPr>
          <w:rFonts w:ascii="Times New Roman" w:hAnsi="Times New Roman" w:cs="Times New Roman"/>
          <w:sz w:val="24"/>
          <w:szCs w:val="24"/>
        </w:rPr>
        <w:br w:type="textWrapping"/>
      </w:r>
      <w:r>
        <w:rPr>
          <w:rFonts w:ascii="Times New Roman" w:hAnsi="Times New Roman" w:cs="Times New Roman"/>
          <w:sz w:val="24"/>
          <w:szCs w:val="24"/>
        </w:rPr>
        <w:t>Precision (also called Positive Predictive Value) measures the ratio of correctly predicted positive observations to the total predicted positives:</w:t>
      </w:r>
    </w:p>
    <w:p w14:paraId="027A6FF5">
      <w:pPr>
        <w:spacing w:line="360" w:lineRule="auto"/>
        <w:jc w:val="center"/>
        <w:rPr>
          <w:rFonts w:ascii="Times New Roman" w:hAnsi="Times New Roman" w:cs="Times New Roman"/>
          <w:sz w:val="24"/>
          <w:szCs w:val="24"/>
        </w:rPr>
      </w:pPr>
      <m:oMathPara>
        <m:oMath>
          <m:r>
            <m:rPr>
              <m:sty m:val="p"/>
            </m:rPr>
            <w:rPr>
              <w:rFonts w:hint="default" w:ascii="Cambria Math" w:hAnsi="Cambria Math" w:cs="Times New Roman"/>
              <w:sz w:val="24"/>
              <w:szCs w:val="24"/>
              <w:lang w:val="en-US"/>
            </w:rPr>
            <m:t>P =</m:t>
          </m:r>
          <m:f>
            <m:fPr>
              <m:ctrlPr>
                <w:rPr>
                  <w:rFonts w:ascii="Cambria Math" w:hAnsi="Cambria Math" w:cs="Times New Roman"/>
                  <w:i/>
                  <w:kern w:val="2"/>
                  <w:sz w:val="24"/>
                  <w:szCs w:val="24"/>
                  <w14:ligatures w14:val="standardContextual"/>
                </w:rPr>
              </m:ctrlPr>
            </m:fPr>
            <m:num>
              <m:r>
                <m:rPr/>
                <w:rPr>
                  <w:rFonts w:ascii="Cambria Math" w:hAnsi="Cambria Math" w:cs="Times New Roman"/>
                  <w:sz w:val="24"/>
                  <w:szCs w:val="24"/>
                </w:rPr>
                <m:t>TP</m:t>
              </m:r>
              <m:ctrlPr>
                <w:rPr>
                  <w:rFonts w:ascii="Cambria Math" w:hAnsi="Cambria Math" w:cs="Times New Roman"/>
                  <w:i/>
                  <w:kern w:val="2"/>
                  <w:sz w:val="24"/>
                  <w:szCs w:val="24"/>
                  <w14:ligatures w14:val="standardContextual"/>
                </w:rPr>
              </m:ctrlPr>
            </m:num>
            <m:den>
              <m:r>
                <m:rPr/>
                <w:rPr>
                  <w:rFonts w:ascii="Cambria Math" w:hAnsi="Cambria Math" w:cs="Times New Roman"/>
                  <w:sz w:val="24"/>
                  <w:szCs w:val="24"/>
                </w:rPr>
                <m:t>TP+FP</m:t>
              </m:r>
              <m:ctrlPr>
                <w:rPr>
                  <w:rFonts w:ascii="Cambria Math" w:hAnsi="Cambria Math" w:cs="Times New Roman"/>
                  <w:i/>
                  <w:kern w:val="2"/>
                  <w:sz w:val="24"/>
                  <w:szCs w:val="24"/>
                  <w14:ligatures w14:val="standardContextual"/>
                </w:rPr>
              </m:ctrlPr>
            </m:den>
          </m:f>
        </m:oMath>
      </m:oMathPara>
    </w:p>
    <w:p w14:paraId="2E25C0A1">
      <w:pPr>
        <w:spacing w:line="360" w:lineRule="auto"/>
        <w:rPr>
          <w:rFonts w:ascii="Times New Roman" w:hAnsi="Times New Roman" w:cs="Times New Roman"/>
          <w:sz w:val="24"/>
          <w:szCs w:val="24"/>
        </w:rPr>
      </w:pPr>
      <w:r>
        <w:rPr>
          <w:rFonts w:ascii="Times New Roman" w:hAnsi="Times New Roman" w:cs="Times New Roman"/>
          <w:b/>
          <w:bCs/>
          <w:sz w:val="24"/>
          <w:szCs w:val="24"/>
        </w:rPr>
        <w:t>3. Recall</w:t>
      </w:r>
      <w:r>
        <w:rPr>
          <w:rFonts w:ascii="Times New Roman" w:hAnsi="Times New Roman" w:cs="Times New Roman"/>
          <w:sz w:val="24"/>
          <w:szCs w:val="24"/>
        </w:rPr>
        <w:br w:type="textWrapping"/>
      </w:r>
      <w:r>
        <w:rPr>
          <w:rFonts w:ascii="Times New Roman" w:hAnsi="Times New Roman" w:cs="Times New Roman"/>
          <w:sz w:val="24"/>
          <w:szCs w:val="24"/>
        </w:rPr>
        <w:t>Recall (also called Sensitivity or True Positive Rate) measures the ratio of correctly predicted positive observations to the actual positives:</w:t>
      </w:r>
    </w:p>
    <w:p w14:paraId="795BA3EC">
      <w:pPr>
        <w:spacing w:line="360" w:lineRule="auto"/>
        <w:jc w:val="center"/>
        <w:rPr>
          <w:rFonts w:ascii="Times New Roman" w:hAnsi="Times New Roman" w:cs="Times New Roman"/>
          <w:sz w:val="24"/>
          <w:szCs w:val="24"/>
        </w:rPr>
      </w:pPr>
      <m:oMathPara>
        <m:oMath>
          <m:r>
            <m:rPr>
              <m:sty m:val="p"/>
            </m:rPr>
            <w:rPr>
              <w:rFonts w:hint="default" w:ascii="Cambria Math" w:hAnsi="Cambria Math" w:cs="Times New Roman"/>
              <w:kern w:val="2"/>
              <w:sz w:val="24"/>
              <w:szCs w:val="24"/>
              <w:lang w:val="en-US"/>
              <w14:ligatures w14:val="standardContextual"/>
            </w:rPr>
            <m:t>R=</m:t>
          </m:r>
          <m:f>
            <m:fPr>
              <m:ctrlPr>
                <w:rPr>
                  <w:rFonts w:ascii="Cambria Math" w:hAnsi="Cambria Math" w:cs="Times New Roman"/>
                  <w:i/>
                  <w:kern w:val="2"/>
                  <w:sz w:val="24"/>
                  <w:szCs w:val="24"/>
                  <w14:ligatures w14:val="standardContextual"/>
                </w:rPr>
              </m:ctrlPr>
            </m:fPr>
            <m:num>
              <m:r>
                <m:rPr/>
                <w:rPr>
                  <w:rFonts w:ascii="Cambria Math" w:hAnsi="Cambria Math" w:cs="Times New Roman"/>
                  <w:sz w:val="24"/>
                  <w:szCs w:val="24"/>
                </w:rPr>
                <m:t>TP</m:t>
              </m:r>
              <m:ctrlPr>
                <w:rPr>
                  <w:rFonts w:ascii="Cambria Math" w:hAnsi="Cambria Math" w:cs="Times New Roman"/>
                  <w:i/>
                  <w:kern w:val="2"/>
                  <w:sz w:val="24"/>
                  <w:szCs w:val="24"/>
                  <w14:ligatures w14:val="standardContextual"/>
                </w:rPr>
              </m:ctrlPr>
            </m:num>
            <m:den>
              <m:r>
                <m:rPr/>
                <w:rPr>
                  <w:rFonts w:ascii="Cambria Math" w:hAnsi="Cambria Math" w:cs="Times New Roman"/>
                  <w:sz w:val="24"/>
                  <w:szCs w:val="24"/>
                </w:rPr>
                <m:t>TP+FN</m:t>
              </m:r>
              <m:ctrlPr>
                <w:rPr>
                  <w:rFonts w:ascii="Cambria Math" w:hAnsi="Cambria Math" w:cs="Times New Roman"/>
                  <w:i/>
                  <w:kern w:val="2"/>
                  <w:sz w:val="24"/>
                  <w:szCs w:val="24"/>
                  <w14:ligatures w14:val="standardContextual"/>
                </w:rPr>
              </m:ctrlPr>
            </m:den>
          </m:f>
        </m:oMath>
      </m:oMathPara>
    </w:p>
    <w:p w14:paraId="4BAC97D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4. F1-Score </w:t>
      </w:r>
      <w:r>
        <w:rPr>
          <w:rFonts w:ascii="Times New Roman" w:hAnsi="Times New Roman" w:cs="Times New Roman"/>
          <w:sz w:val="24"/>
          <w:szCs w:val="24"/>
        </w:rPr>
        <w:br w:type="textWrapping"/>
      </w:r>
      <w:r>
        <w:rPr>
          <w:rFonts w:ascii="Times New Roman" w:hAnsi="Times New Roman" w:cs="Times New Roman"/>
          <w:sz w:val="24"/>
          <w:szCs w:val="24"/>
        </w:rPr>
        <w:t>F1-Score is the harmonic mean of precision and recall, providing a balanced measure, especially for imbalanced datasets:</w:t>
      </w:r>
    </w:p>
    <w:p w14:paraId="374AA7F7">
      <w:pPr>
        <w:spacing w:line="360" w:lineRule="auto"/>
        <w:rPr>
          <w:rFonts w:ascii="Times New Roman" w:hAnsi="Times New Roman" w:cs="Times New Roman"/>
          <w:sz w:val="24"/>
          <w:szCs w:val="24"/>
        </w:rPr>
      </w:pPr>
      <m:oMathPara>
        <m:oMathParaPr>
          <m:jc m:val="center"/>
        </m:oMathParaPr>
        <m:oMath>
          <m:r>
            <m:rPr>
              <m:sty m:val="p"/>
            </m:rPr>
            <w:rPr>
              <w:rFonts w:hint="default" w:ascii="Cambria Math" w:hAnsi="Times New Roman" w:cs="Times New Roman"/>
              <w:sz w:val="24"/>
              <w:szCs w:val="24"/>
              <w:lang w:val="en-US"/>
            </w:rPr>
            <m:t>F1 Score=</m:t>
          </m:r>
          <m:f>
            <m:fPr>
              <m:ctrlPr>
                <w:rPr>
                  <w:rFonts w:ascii="Cambria Math" w:hAnsi="Cambria Math" w:cs="Times New Roman"/>
                  <w:i/>
                  <w:kern w:val="2"/>
                  <w:sz w:val="24"/>
                  <w:szCs w:val="24"/>
                  <w14:ligatures w14:val="standardContextual"/>
                </w:rPr>
              </m:ctrlPr>
            </m:fPr>
            <m:num>
              <m:r>
                <m:rPr/>
                <w:rPr>
                  <w:rFonts w:ascii="Cambria Math" w:hAnsi="Cambria Math" w:cs="Times New Roman"/>
                  <w:sz w:val="24"/>
                  <w:szCs w:val="24"/>
                </w:rPr>
                <m:t>P∗R</m:t>
              </m:r>
              <m:ctrlPr>
                <w:rPr>
                  <w:rFonts w:ascii="Cambria Math" w:hAnsi="Cambria Math" w:cs="Times New Roman"/>
                  <w:i/>
                  <w:kern w:val="2"/>
                  <w:sz w:val="24"/>
                  <w:szCs w:val="24"/>
                  <w14:ligatures w14:val="standardContextual"/>
                </w:rPr>
              </m:ctrlPr>
            </m:num>
            <m:den>
              <m:r>
                <m:rPr/>
                <w:rPr>
                  <w:rFonts w:ascii="Cambria Math" w:hAnsi="Cambria Math" w:cs="Times New Roman"/>
                  <w:sz w:val="24"/>
                  <w:szCs w:val="24"/>
                </w:rPr>
                <m:t>P+R</m:t>
              </m:r>
              <m:ctrlPr>
                <w:rPr>
                  <w:rFonts w:ascii="Cambria Math" w:hAnsi="Cambria Math" w:cs="Times New Roman"/>
                  <w:i/>
                  <w:kern w:val="2"/>
                  <w:sz w:val="24"/>
                  <w:szCs w:val="24"/>
                  <w14:ligatures w14:val="standardContextual"/>
                </w:rPr>
              </m:ctrlPr>
            </m:den>
          </m:f>
        </m:oMath>
      </m:oMathPara>
    </w:p>
    <w:p w14:paraId="461A8ECA">
      <w:pPr>
        <w:spacing w:line="360" w:lineRule="auto"/>
        <w:rPr>
          <w:rFonts w:ascii="Times New Roman" w:hAnsi="Times New Roman" w:cs="Times New Roman"/>
          <w:sz w:val="24"/>
          <w:szCs w:val="24"/>
        </w:rPr>
      </w:pPr>
      <w:r>
        <w:rPr>
          <w:rFonts w:ascii="Times New Roman" w:hAnsi="Times New Roman" w:cs="Times New Roman"/>
          <w:sz w:val="24"/>
          <w:szCs w:val="24"/>
        </w:rPr>
        <w:t>These metrics collectively provide a thorough evaluation of model performance, particularly in churn prediction scenarios involving class imbalance.</w:t>
      </w:r>
    </w:p>
    <w:p w14:paraId="773FE66E">
      <w:pPr>
        <w:pStyle w:val="3"/>
        <w:spacing w:line="360" w:lineRule="auto"/>
        <w:rPr>
          <w:rFonts w:hint="default"/>
          <w:lang w:val="en-US"/>
        </w:rPr>
      </w:pPr>
      <w:bookmarkStart w:id="43" w:name="_Toc183163354"/>
      <w:r>
        <w:t>3.8</w:t>
      </w:r>
      <w:r>
        <w:rPr>
          <w:rFonts w:hint="default"/>
          <w:lang w:val="en-US"/>
        </w:rPr>
        <w:tab/>
      </w:r>
      <w:r>
        <w:t>Comparison of Models</w:t>
      </w:r>
      <w:bookmarkEnd w:id="43"/>
      <w:r>
        <w:rPr>
          <w:rFonts w:hint="default"/>
          <w:lang w:val="en-US"/>
        </w:rPr>
        <w:t xml:space="preserve"> and Primary Dataset</w:t>
      </w:r>
    </w:p>
    <w:p w14:paraId="6977F74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Criteria for Comparison:</w:t>
      </w:r>
      <w:r>
        <w:rPr>
          <w:rFonts w:ascii="Times New Roman" w:hAnsi="Times New Roman" w:cs="Times New Roman"/>
          <w:sz w:val="24"/>
          <w:szCs w:val="24"/>
        </w:rPr>
        <w:br w:type="textWrapping"/>
      </w:r>
      <w:r>
        <w:rPr>
          <w:rFonts w:ascii="Times New Roman" w:hAnsi="Times New Roman" w:cs="Times New Roman"/>
          <w:sz w:val="24"/>
          <w:szCs w:val="24"/>
        </w:rPr>
        <w:t>Models were evaluated based on key performance metrics: accuracy, precision, recall, and F1-score. Accuracy measured overall correctness, while precision focused on the proportion of correctly predicted positive cases. Recall indicated the model’s ability to identify all actual churners, and the F1-score balanced precision and recall, particularly useful for imbalanced datasets. Interpretability was also assessed to ensure practical applicability, with models like Decision Trees offering insights into customer churn behavior.</w:t>
      </w:r>
    </w:p>
    <w:p w14:paraId="3A565F9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Statistical Tests Used for Comparison:</w:t>
      </w:r>
      <w:r>
        <w:rPr>
          <w:rFonts w:ascii="Times New Roman" w:hAnsi="Times New Roman" w:cs="Times New Roman"/>
          <w:sz w:val="24"/>
          <w:szCs w:val="24"/>
        </w:rPr>
        <w:br w:type="textWrapping"/>
      </w:r>
      <w:r>
        <w:rPr>
          <w:rFonts w:ascii="Times New Roman" w:hAnsi="Times New Roman" w:cs="Times New Roman"/>
          <w:sz w:val="24"/>
          <w:szCs w:val="24"/>
        </w:rPr>
        <w:t>A paired t-test was applied to compare model performance. This test evaluated the difference in performance metrics (e.g., accuracy or F1-score) between model pairs on the same dataset. Each observation represented a model’s prediction versus actual outcomes. If the p-value was less than 0.05, the difference was statistically significant, confirming that one model outperformed the other consistently. This approach ensured reliable and data-driven model selection.</w:t>
      </w:r>
    </w:p>
    <w:p w14:paraId="61967FB3">
      <w:pPr>
        <w:spacing w:line="36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Primary Dataset</w:t>
      </w:r>
    </w:p>
    <w:p w14:paraId="353BB537">
      <w:pPr>
        <w:spacing w:line="360" w:lineRule="auto"/>
        <w:jc w:val="both"/>
        <w:rPr>
          <w:rFonts w:ascii="Times New Roman" w:hAnsi="Times New Roman" w:cs="Times New Roman"/>
          <w:sz w:val="24"/>
          <w:szCs w:val="24"/>
        </w:rPr>
      </w:pPr>
      <w:r>
        <w:rPr>
          <w:rFonts w:ascii="Times New Roman" w:hAnsi="Times New Roman" w:cs="Times New Roman"/>
          <w:sz w:val="24"/>
          <w:szCs w:val="24"/>
        </w:rPr>
        <w:t>The primary dataset for this study was collected directly from a telecommunications company (e.g., MTN or Airtel) in Nigeria. This dataset includes customer records, such as demographics, service usage patterns, billing information, and churn history. The data was sourced from internal company databases to ensure it is specific, detailed, and relevant to the study objectives.</w:t>
      </w:r>
    </w:p>
    <w:p w14:paraId="4EA3D034">
      <w:pPr>
        <w:spacing w:line="360" w:lineRule="auto"/>
        <w:jc w:val="both"/>
        <w:rPr>
          <w:rFonts w:ascii="Times New Roman" w:hAnsi="Times New Roman" w:cs="Times New Roman"/>
          <w:sz w:val="24"/>
          <w:szCs w:val="24"/>
        </w:rPr>
      </w:pPr>
      <w:r>
        <w:rPr>
          <w:rFonts w:ascii="Times New Roman" w:hAnsi="Times New Roman" w:cs="Times New Roman"/>
          <w:sz w:val="24"/>
          <w:szCs w:val="24"/>
        </w:rPr>
        <w:t>The respondents for this study were selected using a purposive sampling method. This approach focused on customers who have interacted with the telecommunications services over a specific period, with a particular emphasis on those who exhibited characteristics associated with churn (e.g., service complaints, frequent changes in plans). The selection was based on available churn data, ensuring that a meaningful comparison between churned and non-churned customers could be made.</w:t>
      </w:r>
    </w:p>
    <w:p w14:paraId="7D7730D4">
      <w:pPr>
        <w:pStyle w:val="3"/>
        <w:spacing w:line="360" w:lineRule="auto"/>
        <w:rPr>
          <w:rFonts w:hint="default"/>
          <w:lang w:val="en-US"/>
        </w:rPr>
      </w:pPr>
      <w:bookmarkStart w:id="44" w:name="_Toc183163356"/>
      <w:r>
        <w:t>3.</w:t>
      </w:r>
      <w:r>
        <w:rPr>
          <w:rFonts w:hint="default"/>
          <w:lang w:val="en-US"/>
        </w:rPr>
        <w:t>9</w:t>
      </w:r>
      <w:r>
        <w:rPr>
          <w:rFonts w:hint="default"/>
          <w:lang w:val="en-US"/>
        </w:rPr>
        <w:tab/>
      </w:r>
      <w:r>
        <w:t>Instrument Validation</w:t>
      </w:r>
      <w:bookmarkEnd w:id="44"/>
      <w:r>
        <w:rPr>
          <w:rFonts w:hint="default"/>
          <w:lang w:val="en-US"/>
        </w:rPr>
        <w:t xml:space="preserve"> and Reliability Assessment</w:t>
      </w:r>
    </w:p>
    <w:p w14:paraId="60994254">
      <w:pPr>
        <w:spacing w:line="360" w:lineRule="auto"/>
        <w:jc w:val="both"/>
        <w:rPr>
          <w:rFonts w:ascii="Times New Roman" w:hAnsi="Times New Roman" w:cs="Times New Roman"/>
          <w:sz w:val="24"/>
          <w:szCs w:val="24"/>
        </w:rPr>
      </w:pPr>
      <w:r>
        <w:rPr>
          <w:rFonts w:ascii="Times New Roman" w:hAnsi="Times New Roman" w:cs="Times New Roman"/>
          <w:sz w:val="24"/>
          <w:szCs w:val="24"/>
        </w:rPr>
        <w:t>The survey instrument (questionnaire) used to collect customer opinions on churn-related factors was validated by a panel of experts in telecommunications and machine learning. These experts reviewed the instrument for clarity, relevance, and comprehensiveness in relation to the study's objectives. Additionally, feedback from a small group of pilot respondents was incorporated to refine the instrument before full-scale deployment.</w:t>
      </w:r>
    </w:p>
    <w:p w14:paraId="7959D072">
      <w:pPr>
        <w:spacing w:line="360" w:lineRule="auto"/>
        <w:jc w:val="both"/>
        <w:rPr>
          <w:rFonts w:ascii="Times New Roman" w:hAnsi="Times New Roman" w:cs="Times New Roman"/>
          <w:sz w:val="24"/>
          <w:szCs w:val="24"/>
        </w:rPr>
      </w:pPr>
      <w:r>
        <w:rPr>
          <w:rFonts w:ascii="Times New Roman" w:hAnsi="Times New Roman" w:cs="Times New Roman"/>
          <w:sz w:val="24"/>
          <w:szCs w:val="24"/>
        </w:rPr>
        <w:t>To ascertain the reliability of the survey instrument, a pilot test was conducted with a sample group of 30 respondents from the target population. The test yielded a Cronbach’s Alpha coefficient of 0.85, indicating a high level of internal consistency. This reliability score confirms that the instrument consistently measures the intended variables without significant measurement error.</w:t>
      </w:r>
    </w:p>
    <w:p w14:paraId="059EAD1D">
      <w:pPr>
        <w:spacing w:line="360" w:lineRule="auto"/>
        <w:jc w:val="both"/>
        <w:rPr>
          <w:rFonts w:ascii="Times New Roman" w:hAnsi="Times New Roman" w:cs="Times New Roman"/>
          <w:sz w:val="24"/>
          <w:szCs w:val="24"/>
        </w:rPr>
      </w:pPr>
    </w:p>
    <w:p w14:paraId="3363E337">
      <w:pPr>
        <w:spacing w:line="360" w:lineRule="auto"/>
        <w:jc w:val="both"/>
        <w:rPr>
          <w:rFonts w:ascii="Times New Roman" w:hAnsi="Times New Roman" w:cs="Times New Roman"/>
          <w:sz w:val="24"/>
          <w:szCs w:val="24"/>
        </w:rPr>
      </w:pPr>
    </w:p>
    <w:p w14:paraId="1A1078DE">
      <w:pPr>
        <w:spacing w:line="360" w:lineRule="auto"/>
        <w:jc w:val="both"/>
        <w:rPr>
          <w:rFonts w:ascii="Times New Roman" w:hAnsi="Times New Roman" w:cs="Times New Roman"/>
          <w:sz w:val="24"/>
          <w:szCs w:val="24"/>
        </w:rPr>
      </w:pPr>
    </w:p>
    <w:p w14:paraId="04F9A5DB">
      <w:pPr>
        <w:spacing w:line="360" w:lineRule="auto"/>
        <w:jc w:val="both"/>
        <w:rPr>
          <w:rFonts w:ascii="Times New Roman" w:hAnsi="Times New Roman" w:cs="Times New Roman"/>
          <w:sz w:val="24"/>
          <w:szCs w:val="24"/>
        </w:rPr>
      </w:pPr>
    </w:p>
    <w:p w14:paraId="785C87CA">
      <w:pPr>
        <w:spacing w:line="360" w:lineRule="auto"/>
        <w:jc w:val="both"/>
        <w:rPr>
          <w:rFonts w:ascii="Times New Roman" w:hAnsi="Times New Roman" w:cs="Times New Roman"/>
          <w:sz w:val="24"/>
          <w:szCs w:val="24"/>
        </w:rPr>
      </w:pPr>
    </w:p>
    <w:p w14:paraId="10D24A4B">
      <w:pPr>
        <w:spacing w:line="360" w:lineRule="auto"/>
        <w:jc w:val="both"/>
        <w:rPr>
          <w:rFonts w:ascii="Times New Roman" w:hAnsi="Times New Roman" w:cs="Times New Roman"/>
          <w:sz w:val="24"/>
          <w:szCs w:val="24"/>
        </w:rPr>
      </w:pPr>
    </w:p>
    <w:p w14:paraId="6E78E71A">
      <w:pPr>
        <w:spacing w:line="360" w:lineRule="auto"/>
        <w:jc w:val="both"/>
        <w:rPr>
          <w:rFonts w:ascii="Times New Roman" w:hAnsi="Times New Roman" w:cs="Times New Roman"/>
          <w:sz w:val="24"/>
          <w:szCs w:val="24"/>
        </w:rPr>
      </w:pPr>
    </w:p>
    <w:p w14:paraId="2F46B1B4">
      <w:pPr>
        <w:spacing w:line="360" w:lineRule="auto"/>
        <w:jc w:val="both"/>
        <w:rPr>
          <w:rFonts w:ascii="Times New Roman" w:hAnsi="Times New Roman" w:cs="Times New Roman"/>
          <w:sz w:val="24"/>
          <w:szCs w:val="24"/>
        </w:rPr>
      </w:pPr>
    </w:p>
    <w:p w14:paraId="60D26EE1">
      <w:pPr>
        <w:pStyle w:val="2"/>
        <w:spacing w:before="0" w:after="0" w:line="360" w:lineRule="auto"/>
        <w:jc w:val="both"/>
        <w:rPr>
          <w:rFonts w:cs="Times New Roman"/>
          <w:szCs w:val="24"/>
        </w:rPr>
      </w:pPr>
      <w:bookmarkStart w:id="45" w:name="_Toc183163358"/>
      <w:r>
        <w:rPr>
          <w:rFonts w:cs="Times New Roman"/>
          <w:szCs w:val="24"/>
        </w:rPr>
        <w:t>CHAPTER FOUR</w:t>
      </w:r>
      <w:bookmarkEnd w:id="45"/>
    </w:p>
    <w:p w14:paraId="03F49D3C">
      <w:pPr>
        <w:pStyle w:val="2"/>
        <w:spacing w:before="0" w:after="0" w:line="360" w:lineRule="auto"/>
        <w:jc w:val="both"/>
        <w:rPr>
          <w:rFonts w:hint="default" w:cs="Times New Roman"/>
          <w:szCs w:val="24"/>
          <w:lang w:val="en-US"/>
        </w:rPr>
      </w:pPr>
      <w:r>
        <w:rPr>
          <w:rFonts w:hint="default" w:cs="Times New Roman"/>
          <w:szCs w:val="24"/>
          <w:lang w:val="en-US"/>
        </w:rPr>
        <w:t>SYSTEM IMPLEMENTATION</w:t>
      </w:r>
    </w:p>
    <w:p w14:paraId="5A40C510">
      <w:pPr>
        <w:pStyle w:val="3"/>
        <w:spacing w:line="360" w:lineRule="auto"/>
        <w:rPr>
          <w:rFonts w:hint="default"/>
          <w:lang w:val="en-US"/>
        </w:rPr>
      </w:pPr>
      <w:bookmarkStart w:id="46" w:name="_Toc183163360"/>
      <w:r>
        <w:t>4.</w:t>
      </w:r>
      <w:r>
        <w:rPr>
          <w:rFonts w:hint="default"/>
          <w:lang w:val="en-US"/>
        </w:rPr>
        <w:t>1</w:t>
      </w:r>
      <w:bookmarkEnd w:id="46"/>
      <w:r>
        <w:rPr>
          <w:rFonts w:hint="default"/>
          <w:lang w:val="en-US"/>
        </w:rPr>
        <w:tab/>
      </w:r>
      <w:r>
        <w:rPr>
          <w:rFonts w:hint="default"/>
          <w:lang w:val="en-US"/>
        </w:rPr>
        <w:t>Chapter Overview</w:t>
      </w:r>
    </w:p>
    <w:p w14:paraId="01D4CE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chapter presents the analysis and interpretation of data collected from 2,576 respondents sampled from the Nigerian telecommunications sector, focusing on MTN and Airtel customers. The analysis aims to explore key factors that influence customer churn and compare churn rates between these two dominant service providers.</w:t>
      </w:r>
    </w:p>
    <w:p w14:paraId="5C020C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data were obtained electronically through structured questionnaires administered via Google Forms. After data cleaning (missing values removal, etc.), the sample size was refined to 1, 383 respondents, as other entries were excluded due to incomplete or inconsistent responses. The remaining data provides a robust foundation for analyzing key demographic information, customer satisfaction levels, subscription patterns, and usage behaviors.</w:t>
      </w:r>
    </w:p>
    <w:p w14:paraId="5596AC2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By examining these responses, the study seeks to uncover significant patterns contributing to customer churn and assess how these factors align with the research objectives. This chapter also offers a detailed breakdown of the findings, including descriptive statistics and the relationship between various factors such as age, gender, subscription type, and monthly spending with customer churn. The goal is to generate insights that can help reduce churn rates and improve customer retention in Nigeria's highly competitive telecommunications industry.</w:t>
      </w:r>
      <w:bookmarkStart w:id="47" w:name="_Toc183163361"/>
    </w:p>
    <w:p w14:paraId="1BF92BC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Tables 4.1</w:t>
      </w:r>
      <w:r>
        <w:rPr>
          <w:rFonts w:hint="default" w:ascii="Times New Roman" w:hAnsi="Times New Roman" w:cs="Times New Roman"/>
          <w:sz w:val="24"/>
          <w:szCs w:val="24"/>
          <w:lang w:val="en-US"/>
        </w:rPr>
        <w:t xml:space="preserve">.1 </w:t>
      </w:r>
      <w:r>
        <w:rPr>
          <w:rFonts w:ascii="Times New Roman" w:hAnsi="Times New Roman" w:cs="Times New Roman"/>
          <w:sz w:val="24"/>
          <w:szCs w:val="24"/>
        </w:rPr>
        <w:t>- 4.</w:t>
      </w:r>
      <w:r>
        <w:rPr>
          <w:rFonts w:hint="default" w:ascii="Times New Roman" w:hAnsi="Times New Roman" w:cs="Times New Roman"/>
          <w:sz w:val="24"/>
          <w:szCs w:val="24"/>
          <w:lang w:val="en-US"/>
        </w:rPr>
        <w:t>1.</w:t>
      </w:r>
      <w:r>
        <w:rPr>
          <w:rFonts w:ascii="Times New Roman" w:hAnsi="Times New Roman" w:cs="Times New Roman"/>
          <w:sz w:val="24"/>
          <w:szCs w:val="24"/>
        </w:rPr>
        <w:t>10 captures the demographic profiles of the customers indicating the various frequency and percentage distribution of the considered profiles of the respondents. A detailed analysis is presented in preceding sections.</w:t>
      </w:r>
    </w:p>
    <w:bookmarkEnd w:id="47"/>
    <w:p w14:paraId="41108253">
      <w:pPr>
        <w:pStyle w:val="5"/>
        <w:bidi w:val="0"/>
        <w:spacing w:line="360" w:lineRule="auto"/>
        <w:jc w:val="center"/>
        <w:rPr>
          <w:rFonts w:ascii="Times New Roman" w:hAnsi="Times New Roman" w:cs="Times New Roman"/>
          <w:szCs w:val="24"/>
        </w:rPr>
      </w:pPr>
      <w:bookmarkStart w:id="48" w:name="_Hlk184218774"/>
      <w:r>
        <w:t>Table 4.1</w:t>
      </w:r>
      <w:r>
        <w:rPr>
          <w:rFonts w:hint="default"/>
          <w:lang w:val="en-US"/>
        </w:rPr>
        <w:t>.1</w:t>
      </w:r>
      <w:r>
        <w:t xml:space="preserve"> Age Distribution of Respondents</w:t>
      </w:r>
    </w:p>
    <w:bookmarkEnd w:id="48"/>
    <w:tbl>
      <w:tblPr>
        <w:tblStyle w:val="12"/>
        <w:tblW w:w="8995"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993"/>
        <w:gridCol w:w="2277"/>
        <w:gridCol w:w="2725"/>
      </w:tblGrid>
      <w:tr w14:paraId="761E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Header/>
          <w:tblCellSpacing w:w="15" w:type="dxa"/>
          <w:jc w:val="center"/>
        </w:trPr>
        <w:tc>
          <w:tcPr>
            <w:tcW w:w="0" w:type="auto"/>
            <w:vAlign w:val="center"/>
          </w:tcPr>
          <w:p w14:paraId="3164839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Age Group (Years)</w:t>
            </w:r>
          </w:p>
        </w:tc>
        <w:tc>
          <w:tcPr>
            <w:tcW w:w="0" w:type="auto"/>
            <w:vAlign w:val="center"/>
          </w:tcPr>
          <w:p w14:paraId="781A199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2680" w:type="dxa"/>
            <w:vAlign w:val="center"/>
          </w:tcPr>
          <w:p w14:paraId="1C54A3D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7E28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121B0E3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 – 24</w:t>
            </w:r>
          </w:p>
        </w:tc>
        <w:tc>
          <w:tcPr>
            <w:tcW w:w="0" w:type="auto"/>
            <w:vAlign w:val="center"/>
          </w:tcPr>
          <w:p w14:paraId="32FD60C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2680" w:type="dxa"/>
            <w:vAlign w:val="center"/>
          </w:tcPr>
          <w:p w14:paraId="3D764B0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7102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3" w:hRule="atLeast"/>
          <w:tblCellSpacing w:w="15" w:type="dxa"/>
          <w:jc w:val="center"/>
        </w:trPr>
        <w:tc>
          <w:tcPr>
            <w:tcW w:w="0" w:type="auto"/>
            <w:vAlign w:val="center"/>
          </w:tcPr>
          <w:p w14:paraId="7FB63A9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25 – 34</w:t>
            </w:r>
          </w:p>
        </w:tc>
        <w:tc>
          <w:tcPr>
            <w:tcW w:w="0" w:type="auto"/>
            <w:vAlign w:val="center"/>
          </w:tcPr>
          <w:p w14:paraId="0CF2481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2680" w:type="dxa"/>
            <w:vAlign w:val="center"/>
          </w:tcPr>
          <w:p w14:paraId="45C350E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42BA8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04C27B3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35 – 44</w:t>
            </w:r>
          </w:p>
        </w:tc>
        <w:tc>
          <w:tcPr>
            <w:tcW w:w="0" w:type="auto"/>
            <w:vAlign w:val="center"/>
          </w:tcPr>
          <w:p w14:paraId="33FE7C4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340</w:t>
            </w:r>
          </w:p>
        </w:tc>
        <w:tc>
          <w:tcPr>
            <w:tcW w:w="2680" w:type="dxa"/>
            <w:vAlign w:val="center"/>
          </w:tcPr>
          <w:p w14:paraId="44F33EB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24.6%</w:t>
            </w:r>
          </w:p>
        </w:tc>
      </w:tr>
      <w:tr w14:paraId="0A920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088AF8C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 – 64</w:t>
            </w:r>
          </w:p>
        </w:tc>
        <w:tc>
          <w:tcPr>
            <w:tcW w:w="0" w:type="auto"/>
            <w:vAlign w:val="center"/>
          </w:tcPr>
          <w:p w14:paraId="5677B5D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c>
          <w:tcPr>
            <w:tcW w:w="2680" w:type="dxa"/>
            <w:vAlign w:val="center"/>
          </w:tcPr>
          <w:p w14:paraId="49883C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18.8%</w:t>
            </w:r>
          </w:p>
        </w:tc>
      </w:tr>
      <w:tr w14:paraId="1DEF4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3" w:hRule="atLeast"/>
          <w:tblCellSpacing w:w="15" w:type="dxa"/>
          <w:jc w:val="center"/>
        </w:trPr>
        <w:tc>
          <w:tcPr>
            <w:tcW w:w="0" w:type="auto"/>
            <w:vAlign w:val="center"/>
          </w:tcPr>
          <w:p w14:paraId="1F6A4E6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65+</w:t>
            </w:r>
          </w:p>
        </w:tc>
        <w:tc>
          <w:tcPr>
            <w:tcW w:w="0" w:type="auto"/>
            <w:vAlign w:val="center"/>
          </w:tcPr>
          <w:p w14:paraId="4C4E18D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62</w:t>
            </w:r>
          </w:p>
        </w:tc>
        <w:tc>
          <w:tcPr>
            <w:tcW w:w="2680" w:type="dxa"/>
            <w:vAlign w:val="center"/>
          </w:tcPr>
          <w:p w14:paraId="6B1BA0A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w:t>
            </w:r>
          </w:p>
        </w:tc>
      </w:tr>
      <w:tr w14:paraId="5217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7EBDDC3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0" w:type="auto"/>
            <w:vAlign w:val="center"/>
          </w:tcPr>
          <w:p w14:paraId="54B57D79">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2680" w:type="dxa"/>
            <w:vAlign w:val="center"/>
          </w:tcPr>
          <w:p w14:paraId="519B68FE">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bl>
    <w:p w14:paraId="336B0F3B">
      <w:pPr>
        <w:spacing w:after="0" w:line="360" w:lineRule="auto"/>
        <w:jc w:val="both"/>
        <w:rPr>
          <w:rFonts w:ascii="Times New Roman" w:hAnsi="Times New Roman" w:cs="Times New Roman"/>
          <w:b/>
          <w:bCs/>
          <w:sz w:val="24"/>
          <w:szCs w:val="24"/>
        </w:rPr>
      </w:pPr>
    </w:p>
    <w:p w14:paraId="31CB1E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86EC9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age distribution of the 1,383 respondents reveals a clear trend in the demographic composition of the sample. The majority of respondents fall within the </w:t>
      </w:r>
      <w:r>
        <w:rPr>
          <w:rFonts w:ascii="Times New Roman" w:hAnsi="Times New Roman" w:cs="Times New Roman"/>
          <w:b/>
          <w:bCs/>
          <w:sz w:val="24"/>
          <w:szCs w:val="24"/>
        </w:rPr>
        <w:t>25 - 34</w:t>
      </w:r>
      <w:r>
        <w:rPr>
          <w:rFonts w:ascii="Times New Roman" w:hAnsi="Times New Roman" w:cs="Times New Roman"/>
          <w:sz w:val="24"/>
          <w:szCs w:val="24"/>
        </w:rPr>
        <w:t xml:space="preserve"> age group, accounting for </w:t>
      </w:r>
      <w:r>
        <w:rPr>
          <w:rFonts w:ascii="Times New Roman" w:hAnsi="Times New Roman" w:cs="Times New Roman"/>
          <w:b/>
          <w:bCs/>
          <w:sz w:val="24"/>
          <w:szCs w:val="24"/>
        </w:rPr>
        <w:t>30.4%</w:t>
      </w:r>
      <w:r>
        <w:rPr>
          <w:rFonts w:ascii="Times New Roman" w:hAnsi="Times New Roman" w:cs="Times New Roman"/>
          <w:sz w:val="24"/>
          <w:szCs w:val="24"/>
        </w:rPr>
        <w:t xml:space="preserve"> of the total sample. This suggests that the telecom sector, particularly among MTN and Airtel subscribers, is largely driven by young adults in this age range, likely reflecting a high level of digital engagement and mobile usage within this group.</w:t>
      </w:r>
    </w:p>
    <w:p w14:paraId="2D44B8A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second-largest group is the </w:t>
      </w:r>
      <w:r>
        <w:rPr>
          <w:rFonts w:ascii="Times New Roman" w:hAnsi="Times New Roman" w:cs="Times New Roman"/>
          <w:b/>
          <w:bCs/>
          <w:sz w:val="24"/>
          <w:szCs w:val="24"/>
        </w:rPr>
        <w:t>35 - 44</w:t>
      </w:r>
      <w:r>
        <w:rPr>
          <w:rFonts w:ascii="Times New Roman" w:hAnsi="Times New Roman" w:cs="Times New Roman"/>
          <w:sz w:val="24"/>
          <w:szCs w:val="24"/>
        </w:rPr>
        <w:t xml:space="preserve"> age category, representing </w:t>
      </w:r>
      <w:r>
        <w:rPr>
          <w:rFonts w:ascii="Times New Roman" w:hAnsi="Times New Roman" w:cs="Times New Roman"/>
          <w:b/>
          <w:bCs/>
          <w:sz w:val="24"/>
          <w:szCs w:val="24"/>
        </w:rPr>
        <w:t>24.6%</w:t>
      </w:r>
      <w:r>
        <w:rPr>
          <w:rFonts w:ascii="Times New Roman" w:hAnsi="Times New Roman" w:cs="Times New Roman"/>
          <w:sz w:val="24"/>
          <w:szCs w:val="24"/>
        </w:rPr>
        <w:t xml:space="preserve"> of the respondents. This segment likely includes working professionals and middle-aged individuals who rely heavily on mobile connectivity for both personal and professional purposes.</w:t>
      </w:r>
    </w:p>
    <w:p w14:paraId="406BA8D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Interestingly, the </w:t>
      </w:r>
      <w:r>
        <w:rPr>
          <w:rFonts w:ascii="Times New Roman" w:hAnsi="Times New Roman" w:cs="Times New Roman"/>
          <w:b/>
          <w:bCs/>
          <w:sz w:val="24"/>
          <w:szCs w:val="24"/>
        </w:rPr>
        <w:t>18 - 24</w:t>
      </w:r>
      <w:r>
        <w:rPr>
          <w:rFonts w:ascii="Times New Roman" w:hAnsi="Times New Roman" w:cs="Times New Roman"/>
          <w:sz w:val="24"/>
          <w:szCs w:val="24"/>
        </w:rPr>
        <w:t xml:space="preserve"> age group makes up </w:t>
      </w:r>
      <w:r>
        <w:rPr>
          <w:rFonts w:ascii="Times New Roman" w:hAnsi="Times New Roman" w:cs="Times New Roman"/>
          <w:b/>
          <w:bCs/>
          <w:sz w:val="24"/>
          <w:szCs w:val="24"/>
        </w:rPr>
        <w:t>21.7%</w:t>
      </w:r>
      <w:r>
        <w:rPr>
          <w:rFonts w:ascii="Times New Roman" w:hAnsi="Times New Roman" w:cs="Times New Roman"/>
          <w:sz w:val="24"/>
          <w:szCs w:val="24"/>
        </w:rPr>
        <w:t>, indicating that younger users are also a significant part of the customer base. This suggests a growing adoption of mobile services among younger demographics, who are likely frequent users of data-intensive applications such as social media and streaming platforms.</w:t>
      </w:r>
    </w:p>
    <w:p w14:paraId="7D3839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45 - 64</w:t>
      </w:r>
      <w:r>
        <w:rPr>
          <w:rFonts w:ascii="Times New Roman" w:hAnsi="Times New Roman" w:cs="Times New Roman"/>
          <w:sz w:val="24"/>
          <w:szCs w:val="24"/>
        </w:rPr>
        <w:t xml:space="preserve"> age group contributes </w:t>
      </w:r>
      <w:r>
        <w:rPr>
          <w:rFonts w:ascii="Times New Roman" w:hAnsi="Times New Roman" w:cs="Times New Roman"/>
          <w:b/>
          <w:bCs/>
          <w:sz w:val="24"/>
          <w:szCs w:val="24"/>
        </w:rPr>
        <w:t>18.8%</w:t>
      </w:r>
      <w:r>
        <w:rPr>
          <w:rFonts w:ascii="Times New Roman" w:hAnsi="Times New Roman" w:cs="Times New Roman"/>
          <w:sz w:val="24"/>
          <w:szCs w:val="24"/>
        </w:rPr>
        <w:t xml:space="preserve"> to the total respondents, highlighting that older adult, though less prevalent, are still active subscribers. Finally, the </w:t>
      </w:r>
      <w:r>
        <w:rPr>
          <w:rFonts w:ascii="Times New Roman" w:hAnsi="Times New Roman" w:cs="Times New Roman"/>
          <w:b/>
          <w:bCs/>
          <w:sz w:val="24"/>
          <w:szCs w:val="24"/>
        </w:rPr>
        <w:t>65+</w:t>
      </w:r>
      <w:r>
        <w:rPr>
          <w:rFonts w:ascii="Times New Roman" w:hAnsi="Times New Roman" w:cs="Times New Roman"/>
          <w:sz w:val="24"/>
          <w:szCs w:val="24"/>
        </w:rPr>
        <w:t xml:space="preserve"> age group, with </w:t>
      </w:r>
      <w:r>
        <w:rPr>
          <w:rFonts w:ascii="Times New Roman" w:hAnsi="Times New Roman" w:cs="Times New Roman"/>
          <w:b/>
          <w:bCs/>
          <w:sz w:val="24"/>
          <w:szCs w:val="24"/>
        </w:rPr>
        <w:t>4.5%</w:t>
      </w:r>
      <w:r>
        <w:rPr>
          <w:rFonts w:ascii="Times New Roman" w:hAnsi="Times New Roman" w:cs="Times New Roman"/>
          <w:sz w:val="24"/>
          <w:szCs w:val="24"/>
        </w:rPr>
        <w:t>, represents the smallest portion of the sample, which could indicate a lower level of mobile engagement among seniors, possibly due to generational differences in technology adoption.</w:t>
      </w:r>
    </w:p>
    <w:p w14:paraId="710F8D66">
      <w:pPr>
        <w:pStyle w:val="5"/>
        <w:bidi w:val="0"/>
        <w:spacing w:line="360" w:lineRule="auto"/>
        <w:jc w:val="center"/>
        <w:rPr>
          <w:rFonts w:ascii="Times New Roman" w:hAnsi="Times New Roman" w:cs="Times New Roman"/>
          <w:szCs w:val="24"/>
        </w:rPr>
      </w:pPr>
      <w:r>
        <w:t>Table 4.</w:t>
      </w:r>
      <w:r>
        <w:rPr>
          <w:rFonts w:hint="default"/>
          <w:lang w:val="en-US"/>
        </w:rPr>
        <w:t>1.</w:t>
      </w:r>
      <w:r>
        <w:t>2</w:t>
      </w:r>
      <w:r>
        <w:rPr>
          <w:rFonts w:hint="default"/>
          <w:lang w:val="en-US"/>
        </w:rPr>
        <w:t xml:space="preserve"> </w:t>
      </w:r>
      <w:r>
        <w:t>Gender, Subscription Type, Occupation and Educational Level Distribution</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435"/>
        <w:gridCol w:w="1663"/>
        <w:gridCol w:w="1017"/>
        <w:gridCol w:w="1688"/>
      </w:tblGrid>
      <w:tr w14:paraId="0EF7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CB066F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Demographic Variable</w:t>
            </w:r>
          </w:p>
        </w:tc>
        <w:tc>
          <w:tcPr>
            <w:tcW w:w="1633" w:type="dxa"/>
            <w:vAlign w:val="center"/>
          </w:tcPr>
          <w:p w14:paraId="166B9EC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987" w:type="dxa"/>
            <w:vAlign w:val="center"/>
          </w:tcPr>
          <w:p w14:paraId="39B7DC7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643" w:type="dxa"/>
            <w:vAlign w:val="center"/>
          </w:tcPr>
          <w:p w14:paraId="5D9096D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40E0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4FCF09BC">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Gender</w:t>
            </w:r>
          </w:p>
        </w:tc>
        <w:tc>
          <w:tcPr>
            <w:tcW w:w="1633" w:type="dxa"/>
            <w:vAlign w:val="center"/>
          </w:tcPr>
          <w:p w14:paraId="54B542B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Male</w:t>
            </w:r>
          </w:p>
        </w:tc>
        <w:tc>
          <w:tcPr>
            <w:tcW w:w="987" w:type="dxa"/>
            <w:vAlign w:val="center"/>
          </w:tcPr>
          <w:p w14:paraId="48CE5DD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700</w:t>
            </w:r>
          </w:p>
        </w:tc>
        <w:tc>
          <w:tcPr>
            <w:tcW w:w="1643" w:type="dxa"/>
            <w:vAlign w:val="center"/>
          </w:tcPr>
          <w:p w14:paraId="2FF40E9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50.6%</w:t>
            </w:r>
          </w:p>
        </w:tc>
      </w:tr>
      <w:tr w14:paraId="5EFB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111381F3">
            <w:pPr>
              <w:spacing w:after="0" w:line="360" w:lineRule="auto"/>
              <w:jc w:val="center"/>
              <w:rPr>
                <w:rFonts w:ascii="Times New Roman" w:hAnsi="Times New Roman" w:cs="Times New Roman"/>
                <w:sz w:val="24"/>
                <w:szCs w:val="24"/>
              </w:rPr>
            </w:pPr>
          </w:p>
        </w:tc>
        <w:tc>
          <w:tcPr>
            <w:tcW w:w="1633" w:type="dxa"/>
            <w:vAlign w:val="center"/>
          </w:tcPr>
          <w:p w14:paraId="346CF2E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Female</w:t>
            </w:r>
          </w:p>
        </w:tc>
        <w:tc>
          <w:tcPr>
            <w:tcW w:w="987" w:type="dxa"/>
            <w:vAlign w:val="center"/>
          </w:tcPr>
          <w:p w14:paraId="52AEBD5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683</w:t>
            </w:r>
          </w:p>
        </w:tc>
        <w:tc>
          <w:tcPr>
            <w:tcW w:w="1643" w:type="dxa"/>
            <w:vAlign w:val="center"/>
          </w:tcPr>
          <w:p w14:paraId="14A37CE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49.4%</w:t>
            </w:r>
          </w:p>
        </w:tc>
      </w:tr>
      <w:tr w14:paraId="6826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5ED85785">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2CA26481">
            <w:pPr>
              <w:spacing w:after="0" w:line="360" w:lineRule="auto"/>
              <w:jc w:val="center"/>
              <w:rPr>
                <w:rFonts w:ascii="Times New Roman" w:hAnsi="Times New Roman" w:cs="Times New Roman"/>
                <w:sz w:val="24"/>
                <w:szCs w:val="24"/>
              </w:rPr>
            </w:pPr>
          </w:p>
        </w:tc>
        <w:tc>
          <w:tcPr>
            <w:tcW w:w="987" w:type="dxa"/>
            <w:vAlign w:val="center"/>
          </w:tcPr>
          <w:p w14:paraId="6CF684D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4854615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r w14:paraId="53AB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171E5EDF">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Subscription Type</w:t>
            </w:r>
          </w:p>
        </w:tc>
        <w:tc>
          <w:tcPr>
            <w:tcW w:w="1633" w:type="dxa"/>
            <w:vAlign w:val="center"/>
          </w:tcPr>
          <w:p w14:paraId="032A3F3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Prepaid</w:t>
            </w:r>
          </w:p>
        </w:tc>
        <w:tc>
          <w:tcPr>
            <w:tcW w:w="987" w:type="dxa"/>
            <w:vAlign w:val="center"/>
          </w:tcPr>
          <w:p w14:paraId="06C90A2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1,099</w:t>
            </w:r>
          </w:p>
        </w:tc>
        <w:tc>
          <w:tcPr>
            <w:tcW w:w="1643" w:type="dxa"/>
            <w:vAlign w:val="center"/>
          </w:tcPr>
          <w:p w14:paraId="6996A7A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79.5%</w:t>
            </w:r>
          </w:p>
        </w:tc>
      </w:tr>
      <w:tr w14:paraId="53D7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0FBBC34">
            <w:pPr>
              <w:spacing w:after="0" w:line="360" w:lineRule="auto"/>
              <w:jc w:val="center"/>
              <w:rPr>
                <w:rFonts w:ascii="Times New Roman" w:hAnsi="Times New Roman" w:cs="Times New Roman"/>
                <w:sz w:val="24"/>
                <w:szCs w:val="24"/>
              </w:rPr>
            </w:pPr>
          </w:p>
        </w:tc>
        <w:tc>
          <w:tcPr>
            <w:tcW w:w="1633" w:type="dxa"/>
            <w:vAlign w:val="center"/>
          </w:tcPr>
          <w:p w14:paraId="046FF88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Postpaid</w:t>
            </w:r>
          </w:p>
        </w:tc>
        <w:tc>
          <w:tcPr>
            <w:tcW w:w="987" w:type="dxa"/>
            <w:vAlign w:val="center"/>
          </w:tcPr>
          <w:p w14:paraId="569DFA3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284</w:t>
            </w:r>
          </w:p>
        </w:tc>
        <w:tc>
          <w:tcPr>
            <w:tcW w:w="1643" w:type="dxa"/>
            <w:vAlign w:val="center"/>
          </w:tcPr>
          <w:p w14:paraId="0595833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20.5%</w:t>
            </w:r>
          </w:p>
        </w:tc>
      </w:tr>
      <w:tr w14:paraId="20A5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B16E2F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380D2BC4">
            <w:pPr>
              <w:spacing w:after="0" w:line="360" w:lineRule="auto"/>
              <w:jc w:val="center"/>
              <w:rPr>
                <w:rFonts w:ascii="Times New Roman" w:hAnsi="Times New Roman" w:cs="Times New Roman"/>
                <w:sz w:val="24"/>
                <w:szCs w:val="24"/>
              </w:rPr>
            </w:pPr>
          </w:p>
        </w:tc>
        <w:tc>
          <w:tcPr>
            <w:tcW w:w="987" w:type="dxa"/>
            <w:vAlign w:val="center"/>
          </w:tcPr>
          <w:p w14:paraId="6C54CD8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0C5E81C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r w14:paraId="384B3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03F8EF2C">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Occupation</w:t>
            </w:r>
          </w:p>
        </w:tc>
        <w:tc>
          <w:tcPr>
            <w:tcW w:w="1633" w:type="dxa"/>
            <w:vAlign w:val="center"/>
          </w:tcPr>
          <w:p w14:paraId="7FFC28C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Student</w:t>
            </w:r>
          </w:p>
        </w:tc>
        <w:tc>
          <w:tcPr>
            <w:tcW w:w="987" w:type="dxa"/>
            <w:vAlign w:val="center"/>
          </w:tcPr>
          <w:p w14:paraId="07B614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1643" w:type="dxa"/>
            <w:vAlign w:val="center"/>
          </w:tcPr>
          <w:p w14:paraId="6F44AA6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35A90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39DEC01B">
            <w:pPr>
              <w:spacing w:after="0" w:line="360" w:lineRule="auto"/>
              <w:jc w:val="center"/>
              <w:rPr>
                <w:rFonts w:ascii="Times New Roman" w:hAnsi="Times New Roman" w:cs="Times New Roman"/>
                <w:sz w:val="24"/>
                <w:szCs w:val="24"/>
              </w:rPr>
            </w:pPr>
          </w:p>
        </w:tc>
        <w:tc>
          <w:tcPr>
            <w:tcW w:w="1633" w:type="dxa"/>
            <w:vAlign w:val="center"/>
          </w:tcPr>
          <w:p w14:paraId="317CA11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Employed</w:t>
            </w:r>
          </w:p>
        </w:tc>
        <w:tc>
          <w:tcPr>
            <w:tcW w:w="987" w:type="dxa"/>
            <w:vAlign w:val="center"/>
          </w:tcPr>
          <w:p w14:paraId="153C4AD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459</w:t>
            </w:r>
          </w:p>
        </w:tc>
        <w:tc>
          <w:tcPr>
            <w:tcW w:w="1643" w:type="dxa"/>
            <w:vAlign w:val="center"/>
          </w:tcPr>
          <w:p w14:paraId="4510EEE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33.2%</w:t>
            </w:r>
          </w:p>
        </w:tc>
      </w:tr>
      <w:tr w14:paraId="1BC6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312A03B7">
            <w:pPr>
              <w:spacing w:after="0" w:line="360" w:lineRule="auto"/>
              <w:jc w:val="center"/>
              <w:rPr>
                <w:rFonts w:ascii="Times New Roman" w:hAnsi="Times New Roman" w:cs="Times New Roman"/>
                <w:sz w:val="24"/>
                <w:szCs w:val="24"/>
              </w:rPr>
            </w:pPr>
          </w:p>
        </w:tc>
        <w:tc>
          <w:tcPr>
            <w:tcW w:w="1633" w:type="dxa"/>
            <w:vAlign w:val="center"/>
          </w:tcPr>
          <w:p w14:paraId="33DD466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Self-employed</w:t>
            </w:r>
          </w:p>
        </w:tc>
        <w:tc>
          <w:tcPr>
            <w:tcW w:w="987" w:type="dxa"/>
            <w:vAlign w:val="center"/>
          </w:tcPr>
          <w:p w14:paraId="4AE24C0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643" w:type="dxa"/>
            <w:vAlign w:val="center"/>
          </w:tcPr>
          <w:p w14:paraId="668BC9B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1376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1F980DBC">
            <w:pPr>
              <w:spacing w:after="0" w:line="360" w:lineRule="auto"/>
              <w:jc w:val="center"/>
              <w:rPr>
                <w:rFonts w:ascii="Times New Roman" w:hAnsi="Times New Roman" w:cs="Times New Roman"/>
                <w:sz w:val="24"/>
                <w:szCs w:val="24"/>
              </w:rPr>
            </w:pPr>
          </w:p>
        </w:tc>
        <w:tc>
          <w:tcPr>
            <w:tcW w:w="1633" w:type="dxa"/>
            <w:vAlign w:val="center"/>
          </w:tcPr>
          <w:p w14:paraId="2753988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Retired</w:t>
            </w:r>
          </w:p>
        </w:tc>
        <w:tc>
          <w:tcPr>
            <w:tcW w:w="987" w:type="dxa"/>
            <w:vAlign w:val="center"/>
          </w:tcPr>
          <w:p w14:paraId="4D1015F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83</w:t>
            </w:r>
          </w:p>
        </w:tc>
        <w:tc>
          <w:tcPr>
            <w:tcW w:w="1643" w:type="dxa"/>
            <w:vAlign w:val="center"/>
          </w:tcPr>
          <w:p w14:paraId="7D2870A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w:t>
            </w:r>
          </w:p>
        </w:tc>
      </w:tr>
      <w:tr w14:paraId="06E7E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55E92C50">
            <w:pPr>
              <w:spacing w:after="0" w:line="360" w:lineRule="auto"/>
              <w:jc w:val="center"/>
              <w:rPr>
                <w:rFonts w:ascii="Times New Roman" w:hAnsi="Times New Roman" w:cs="Times New Roman"/>
                <w:sz w:val="24"/>
                <w:szCs w:val="24"/>
              </w:rPr>
            </w:pPr>
          </w:p>
        </w:tc>
        <w:tc>
          <w:tcPr>
            <w:tcW w:w="1633" w:type="dxa"/>
            <w:vAlign w:val="center"/>
          </w:tcPr>
          <w:p w14:paraId="6D55E3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Unemployed</w:t>
            </w:r>
          </w:p>
        </w:tc>
        <w:tc>
          <w:tcPr>
            <w:tcW w:w="987" w:type="dxa"/>
            <w:vAlign w:val="center"/>
          </w:tcPr>
          <w:p w14:paraId="1303FD0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643" w:type="dxa"/>
            <w:vAlign w:val="center"/>
          </w:tcPr>
          <w:p w14:paraId="1B0E19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w:t>
            </w:r>
          </w:p>
        </w:tc>
      </w:tr>
      <w:tr w14:paraId="698D7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0AC0C4BB">
            <w:pPr>
              <w:spacing w:after="0" w:line="360" w:lineRule="auto"/>
              <w:jc w:val="center"/>
              <w:rPr>
                <w:rFonts w:ascii="Times New Roman" w:hAnsi="Times New Roman" w:cs="Times New Roman"/>
                <w:sz w:val="24"/>
                <w:szCs w:val="24"/>
              </w:rPr>
            </w:pPr>
          </w:p>
        </w:tc>
        <w:tc>
          <w:tcPr>
            <w:tcW w:w="1633" w:type="dxa"/>
            <w:vAlign w:val="center"/>
          </w:tcPr>
          <w:p w14:paraId="2047EB6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Other</w:t>
            </w:r>
          </w:p>
        </w:tc>
        <w:tc>
          <w:tcPr>
            <w:tcW w:w="987" w:type="dxa"/>
            <w:vAlign w:val="center"/>
          </w:tcPr>
          <w:p w14:paraId="021E0A5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1643" w:type="dxa"/>
            <w:vAlign w:val="center"/>
          </w:tcPr>
          <w:p w14:paraId="557E4E4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w:t>
            </w:r>
          </w:p>
        </w:tc>
      </w:tr>
      <w:tr w14:paraId="69BE6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23BC075">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79534508">
            <w:pPr>
              <w:spacing w:after="0" w:line="360" w:lineRule="auto"/>
              <w:jc w:val="center"/>
              <w:rPr>
                <w:rFonts w:ascii="Times New Roman" w:hAnsi="Times New Roman" w:cs="Times New Roman"/>
                <w:sz w:val="24"/>
                <w:szCs w:val="24"/>
              </w:rPr>
            </w:pPr>
          </w:p>
        </w:tc>
        <w:tc>
          <w:tcPr>
            <w:tcW w:w="987" w:type="dxa"/>
            <w:vAlign w:val="center"/>
          </w:tcPr>
          <w:p w14:paraId="0A8C3FE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417CBF2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r w14:paraId="1A203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48C94EAF">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Education Level</w:t>
            </w:r>
          </w:p>
        </w:tc>
        <w:tc>
          <w:tcPr>
            <w:tcW w:w="1633" w:type="dxa"/>
            <w:vAlign w:val="center"/>
          </w:tcPr>
          <w:p w14:paraId="6DDC611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High School</w:t>
            </w:r>
          </w:p>
        </w:tc>
        <w:tc>
          <w:tcPr>
            <w:tcW w:w="987" w:type="dxa"/>
            <w:vAlign w:val="center"/>
          </w:tcPr>
          <w:p w14:paraId="3A85C78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360</w:t>
            </w:r>
          </w:p>
        </w:tc>
        <w:tc>
          <w:tcPr>
            <w:tcW w:w="1643" w:type="dxa"/>
            <w:vAlign w:val="center"/>
          </w:tcPr>
          <w:p w14:paraId="3944A95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6541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60790C2B">
            <w:pPr>
              <w:spacing w:after="0" w:line="360" w:lineRule="auto"/>
              <w:jc w:val="center"/>
              <w:rPr>
                <w:rFonts w:ascii="Times New Roman" w:hAnsi="Times New Roman" w:cs="Times New Roman"/>
                <w:sz w:val="24"/>
                <w:szCs w:val="24"/>
              </w:rPr>
            </w:pPr>
          </w:p>
        </w:tc>
        <w:tc>
          <w:tcPr>
            <w:tcW w:w="1633" w:type="dxa"/>
            <w:vAlign w:val="center"/>
          </w:tcPr>
          <w:p w14:paraId="1ED4B1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Undergraduate</w:t>
            </w:r>
          </w:p>
        </w:tc>
        <w:tc>
          <w:tcPr>
            <w:tcW w:w="987" w:type="dxa"/>
            <w:vAlign w:val="center"/>
          </w:tcPr>
          <w:p w14:paraId="60B2F9D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660</w:t>
            </w:r>
          </w:p>
        </w:tc>
        <w:tc>
          <w:tcPr>
            <w:tcW w:w="1643" w:type="dxa"/>
            <w:vAlign w:val="center"/>
          </w:tcPr>
          <w:p w14:paraId="4D26D18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47.7%</w:t>
            </w:r>
          </w:p>
        </w:tc>
      </w:tr>
      <w:tr w14:paraId="4AD0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2124C197">
            <w:pPr>
              <w:spacing w:after="0" w:line="360" w:lineRule="auto"/>
              <w:jc w:val="center"/>
              <w:rPr>
                <w:rFonts w:ascii="Times New Roman" w:hAnsi="Times New Roman" w:cs="Times New Roman"/>
                <w:sz w:val="24"/>
                <w:szCs w:val="24"/>
              </w:rPr>
            </w:pPr>
          </w:p>
        </w:tc>
        <w:tc>
          <w:tcPr>
            <w:tcW w:w="1633" w:type="dxa"/>
            <w:vAlign w:val="center"/>
          </w:tcPr>
          <w:p w14:paraId="1A23736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Postgraduate</w:t>
            </w:r>
          </w:p>
        </w:tc>
        <w:tc>
          <w:tcPr>
            <w:tcW w:w="987" w:type="dxa"/>
            <w:vAlign w:val="center"/>
          </w:tcPr>
          <w:p w14:paraId="5D1017E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643" w:type="dxa"/>
            <w:vAlign w:val="center"/>
          </w:tcPr>
          <w:p w14:paraId="4D72DE8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21AA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4094966D">
            <w:pPr>
              <w:spacing w:after="0" w:line="360" w:lineRule="auto"/>
              <w:jc w:val="center"/>
              <w:rPr>
                <w:rFonts w:ascii="Times New Roman" w:hAnsi="Times New Roman" w:cs="Times New Roman"/>
                <w:sz w:val="24"/>
                <w:szCs w:val="24"/>
              </w:rPr>
            </w:pPr>
          </w:p>
        </w:tc>
        <w:tc>
          <w:tcPr>
            <w:tcW w:w="1633" w:type="dxa"/>
            <w:vAlign w:val="center"/>
          </w:tcPr>
          <w:p w14:paraId="1F5B9E1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Other</w:t>
            </w:r>
          </w:p>
        </w:tc>
        <w:tc>
          <w:tcPr>
            <w:tcW w:w="987" w:type="dxa"/>
            <w:vAlign w:val="center"/>
          </w:tcPr>
          <w:p w14:paraId="18CC2DE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62</w:t>
            </w:r>
          </w:p>
        </w:tc>
        <w:tc>
          <w:tcPr>
            <w:tcW w:w="1643" w:type="dxa"/>
            <w:vAlign w:val="center"/>
          </w:tcPr>
          <w:p w14:paraId="6C089E3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w:t>
            </w:r>
          </w:p>
        </w:tc>
      </w:tr>
      <w:tr w14:paraId="6136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3428809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10D911BF">
            <w:pPr>
              <w:spacing w:after="0" w:line="360" w:lineRule="auto"/>
              <w:jc w:val="center"/>
              <w:rPr>
                <w:rFonts w:ascii="Times New Roman" w:hAnsi="Times New Roman" w:cs="Times New Roman"/>
                <w:sz w:val="24"/>
                <w:szCs w:val="24"/>
              </w:rPr>
            </w:pPr>
          </w:p>
        </w:tc>
        <w:tc>
          <w:tcPr>
            <w:tcW w:w="987" w:type="dxa"/>
            <w:vAlign w:val="center"/>
          </w:tcPr>
          <w:p w14:paraId="728A826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46B9CE8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2D434C14">
      <w:pPr>
        <w:spacing w:after="0" w:line="360" w:lineRule="auto"/>
        <w:jc w:val="both"/>
        <w:rPr>
          <w:rFonts w:ascii="Times New Roman" w:hAnsi="Times New Roman" w:cs="Times New Roman"/>
          <w:b/>
          <w:bCs/>
          <w:sz w:val="24"/>
          <w:szCs w:val="24"/>
        </w:rPr>
      </w:pPr>
    </w:p>
    <w:p w14:paraId="761009C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605537A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demographic distribution across </w:t>
      </w:r>
      <w:r>
        <w:rPr>
          <w:rFonts w:ascii="Times New Roman" w:hAnsi="Times New Roman" w:cs="Times New Roman"/>
          <w:b/>
          <w:bCs/>
          <w:sz w:val="24"/>
          <w:szCs w:val="24"/>
        </w:rPr>
        <w:t>Gender</w:t>
      </w:r>
      <w:r>
        <w:rPr>
          <w:rFonts w:ascii="Times New Roman" w:hAnsi="Times New Roman" w:cs="Times New Roman"/>
          <w:sz w:val="24"/>
          <w:szCs w:val="24"/>
        </w:rPr>
        <w:t xml:space="preserve">, </w:t>
      </w:r>
      <w:r>
        <w:rPr>
          <w:rFonts w:ascii="Times New Roman" w:hAnsi="Times New Roman" w:cs="Times New Roman"/>
          <w:b/>
          <w:bCs/>
          <w:sz w:val="24"/>
          <w:szCs w:val="24"/>
        </w:rPr>
        <w:t>Subscription Type</w:t>
      </w:r>
      <w:r>
        <w:rPr>
          <w:rFonts w:ascii="Times New Roman" w:hAnsi="Times New Roman" w:cs="Times New Roman"/>
          <w:sz w:val="24"/>
          <w:szCs w:val="24"/>
        </w:rPr>
        <w:t xml:space="preserve">, </w:t>
      </w:r>
      <w:r>
        <w:rPr>
          <w:rFonts w:ascii="Times New Roman" w:hAnsi="Times New Roman" w:cs="Times New Roman"/>
          <w:b/>
          <w:bCs/>
          <w:sz w:val="24"/>
          <w:szCs w:val="24"/>
        </w:rPr>
        <w:t>Occupation</w:t>
      </w:r>
      <w:r>
        <w:rPr>
          <w:rFonts w:ascii="Times New Roman" w:hAnsi="Times New Roman" w:cs="Times New Roman"/>
          <w:sz w:val="24"/>
          <w:szCs w:val="24"/>
        </w:rPr>
        <w:t xml:space="preserve">, and </w:t>
      </w:r>
      <w:r>
        <w:rPr>
          <w:rFonts w:ascii="Times New Roman" w:hAnsi="Times New Roman" w:cs="Times New Roman"/>
          <w:b/>
          <w:bCs/>
          <w:sz w:val="24"/>
          <w:szCs w:val="24"/>
        </w:rPr>
        <w:t>Education Level</w:t>
      </w:r>
      <w:r>
        <w:rPr>
          <w:rFonts w:ascii="Times New Roman" w:hAnsi="Times New Roman" w:cs="Times New Roman"/>
          <w:sz w:val="24"/>
          <w:szCs w:val="24"/>
        </w:rPr>
        <w:t xml:space="preserve"> provides a comprehensive understanding of the respondents' profiles:</w:t>
      </w:r>
    </w:p>
    <w:p w14:paraId="4045837F">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Gender</w:t>
      </w:r>
      <w:r>
        <w:rPr>
          <w:rFonts w:ascii="Times New Roman" w:hAnsi="Times New Roman" w:cs="Times New Roman"/>
          <w:sz w:val="24"/>
          <w:szCs w:val="24"/>
        </w:rPr>
        <w:t xml:space="preserve">: The gender distribution is almost evenly split, with </w:t>
      </w:r>
      <w:r>
        <w:rPr>
          <w:rFonts w:ascii="Times New Roman" w:hAnsi="Times New Roman" w:cs="Times New Roman"/>
          <w:b/>
          <w:bCs/>
          <w:sz w:val="24"/>
          <w:szCs w:val="24"/>
        </w:rPr>
        <w:t>50.6%</w:t>
      </w:r>
      <w:r>
        <w:rPr>
          <w:rFonts w:ascii="Times New Roman" w:hAnsi="Times New Roman" w:cs="Times New Roman"/>
          <w:sz w:val="24"/>
          <w:szCs w:val="24"/>
        </w:rPr>
        <w:t xml:space="preserve"> male and </w:t>
      </w:r>
      <w:r>
        <w:rPr>
          <w:rFonts w:ascii="Times New Roman" w:hAnsi="Times New Roman" w:cs="Times New Roman"/>
          <w:b/>
          <w:bCs/>
          <w:sz w:val="24"/>
          <w:szCs w:val="24"/>
        </w:rPr>
        <w:t>49.4%</w:t>
      </w:r>
      <w:r>
        <w:rPr>
          <w:rFonts w:ascii="Times New Roman" w:hAnsi="Times New Roman" w:cs="Times New Roman"/>
          <w:sz w:val="24"/>
          <w:szCs w:val="24"/>
        </w:rPr>
        <w:t xml:space="preserve"> female respondents. This balance ensures a fairly equal representation in terms of gender, which is crucial for evaluating any gender-based differences in churn patterns.</w:t>
      </w:r>
    </w:p>
    <w:p w14:paraId="45D279F3">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Subscription Type</w:t>
      </w:r>
      <w:r>
        <w:rPr>
          <w:rFonts w:ascii="Times New Roman" w:hAnsi="Times New Roman" w:cs="Times New Roman"/>
          <w:sz w:val="24"/>
          <w:szCs w:val="24"/>
        </w:rPr>
        <w:t>: The overwhelming majority of respondents (</w:t>
      </w:r>
      <w:r>
        <w:rPr>
          <w:rFonts w:ascii="Times New Roman" w:hAnsi="Times New Roman" w:cs="Times New Roman"/>
          <w:b/>
          <w:bCs/>
          <w:sz w:val="24"/>
          <w:szCs w:val="24"/>
        </w:rPr>
        <w:t>79.5%</w:t>
      </w:r>
      <w:r>
        <w:rPr>
          <w:rFonts w:ascii="Times New Roman" w:hAnsi="Times New Roman" w:cs="Times New Roman"/>
          <w:sz w:val="24"/>
          <w:szCs w:val="24"/>
        </w:rPr>
        <w:t xml:space="preserve">) use </w:t>
      </w:r>
      <w:r>
        <w:rPr>
          <w:rFonts w:ascii="Times New Roman" w:hAnsi="Times New Roman" w:cs="Times New Roman"/>
          <w:b/>
          <w:bCs/>
          <w:sz w:val="24"/>
          <w:szCs w:val="24"/>
        </w:rPr>
        <w:t>Prepaid</w:t>
      </w:r>
      <w:r>
        <w:rPr>
          <w:rFonts w:ascii="Times New Roman" w:hAnsi="Times New Roman" w:cs="Times New Roman"/>
          <w:sz w:val="24"/>
          <w:szCs w:val="24"/>
        </w:rPr>
        <w:t xml:space="preserve"> services, while only </w:t>
      </w:r>
      <w:r>
        <w:rPr>
          <w:rFonts w:ascii="Times New Roman" w:hAnsi="Times New Roman" w:cs="Times New Roman"/>
          <w:b/>
          <w:bCs/>
          <w:sz w:val="24"/>
          <w:szCs w:val="24"/>
        </w:rPr>
        <w:t>20.5%</w:t>
      </w:r>
      <w:r>
        <w:rPr>
          <w:rFonts w:ascii="Times New Roman" w:hAnsi="Times New Roman" w:cs="Times New Roman"/>
          <w:sz w:val="24"/>
          <w:szCs w:val="24"/>
        </w:rPr>
        <w:t xml:space="preserve"> are </w:t>
      </w:r>
      <w:r>
        <w:rPr>
          <w:rFonts w:ascii="Times New Roman" w:hAnsi="Times New Roman" w:cs="Times New Roman"/>
          <w:b/>
          <w:bCs/>
          <w:sz w:val="24"/>
          <w:szCs w:val="24"/>
        </w:rPr>
        <w:t>Postpaid</w:t>
      </w:r>
      <w:r>
        <w:rPr>
          <w:rFonts w:ascii="Times New Roman" w:hAnsi="Times New Roman" w:cs="Times New Roman"/>
          <w:sz w:val="24"/>
          <w:szCs w:val="24"/>
        </w:rPr>
        <w:t xml:space="preserve"> subscribers. This is consistent with the Nigerian telecom market, where prepaid services dominate due to their flexibility and affordability. The postpaid customers, being fewer, might represent higher-income users or corporate clients, a factor that could influence churn differently across these segments.</w:t>
      </w:r>
    </w:p>
    <w:p w14:paraId="369D3ED0">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Occupation</w:t>
      </w:r>
      <w:r>
        <w:rPr>
          <w:rFonts w:ascii="Times New Roman" w:hAnsi="Times New Roman" w:cs="Times New Roman"/>
          <w:sz w:val="24"/>
          <w:szCs w:val="24"/>
        </w:rPr>
        <w:t xml:space="preserve">: The largest occupation category is </w:t>
      </w:r>
      <w:r>
        <w:rPr>
          <w:rFonts w:ascii="Times New Roman" w:hAnsi="Times New Roman" w:cs="Times New Roman"/>
          <w:b/>
          <w:bCs/>
          <w:sz w:val="24"/>
          <w:szCs w:val="24"/>
        </w:rPr>
        <w:t>Employed</w:t>
      </w:r>
      <w:r>
        <w:rPr>
          <w:rFonts w:ascii="Times New Roman" w:hAnsi="Times New Roman" w:cs="Times New Roman"/>
          <w:sz w:val="24"/>
          <w:szCs w:val="24"/>
        </w:rPr>
        <w:t xml:space="preserve"> individuals (</w:t>
      </w:r>
      <w:r>
        <w:rPr>
          <w:rFonts w:ascii="Times New Roman" w:hAnsi="Times New Roman" w:cs="Times New Roman"/>
          <w:b/>
          <w:bCs/>
          <w:sz w:val="24"/>
          <w:szCs w:val="24"/>
        </w:rPr>
        <w:t>33.2%</w:t>
      </w:r>
      <w:r>
        <w:rPr>
          <w:rFonts w:ascii="Times New Roman" w:hAnsi="Times New Roman" w:cs="Times New Roman"/>
          <w:sz w:val="24"/>
          <w:szCs w:val="24"/>
        </w:rPr>
        <w:t xml:space="preserve">), followed by </w:t>
      </w:r>
      <w:r>
        <w:rPr>
          <w:rFonts w:ascii="Times New Roman" w:hAnsi="Times New Roman" w:cs="Times New Roman"/>
          <w:b/>
          <w:bCs/>
          <w:sz w:val="24"/>
          <w:szCs w:val="24"/>
        </w:rPr>
        <w:t>Students</w:t>
      </w:r>
      <w:r>
        <w:rPr>
          <w:rFonts w:ascii="Times New Roman" w:hAnsi="Times New Roman" w:cs="Times New Roman"/>
          <w:sz w:val="24"/>
          <w:szCs w:val="24"/>
        </w:rPr>
        <w:t xml:space="preserve"> (</w:t>
      </w:r>
      <w:r>
        <w:rPr>
          <w:rFonts w:ascii="Times New Roman" w:hAnsi="Times New Roman" w:cs="Times New Roman"/>
          <w:b/>
          <w:bCs/>
          <w:sz w:val="24"/>
          <w:szCs w:val="24"/>
        </w:rPr>
        <w:t>30.4%</w:t>
      </w:r>
      <w:r>
        <w:rPr>
          <w:rFonts w:ascii="Times New Roman" w:hAnsi="Times New Roman" w:cs="Times New Roman"/>
          <w:sz w:val="24"/>
          <w:szCs w:val="24"/>
        </w:rPr>
        <w:t xml:space="preserve">). This suggests that a significant portion of the respondents are either young professionals or students, both of which are active mobile users. </w:t>
      </w:r>
      <w:r>
        <w:rPr>
          <w:rFonts w:ascii="Times New Roman" w:hAnsi="Times New Roman" w:cs="Times New Roman"/>
          <w:b/>
          <w:bCs/>
          <w:sz w:val="24"/>
          <w:szCs w:val="24"/>
        </w:rPr>
        <w:t>Self-employed</w:t>
      </w:r>
      <w:r>
        <w:rPr>
          <w:rFonts w:ascii="Times New Roman" w:hAnsi="Times New Roman" w:cs="Times New Roman"/>
          <w:sz w:val="24"/>
          <w:szCs w:val="24"/>
        </w:rPr>
        <w:t xml:space="preserve"> individuals make up </w:t>
      </w:r>
      <w:r>
        <w:rPr>
          <w:rFonts w:ascii="Times New Roman" w:hAnsi="Times New Roman" w:cs="Times New Roman"/>
          <w:b/>
          <w:bCs/>
          <w:sz w:val="24"/>
          <w:szCs w:val="24"/>
        </w:rPr>
        <w:t>21.7%</w:t>
      </w:r>
      <w:r>
        <w:rPr>
          <w:rFonts w:ascii="Times New Roman" w:hAnsi="Times New Roman" w:cs="Times New Roman"/>
          <w:sz w:val="24"/>
          <w:szCs w:val="24"/>
        </w:rPr>
        <w:t xml:space="preserve">, which might reflect entrepreneurial activities, while smaller percentages are observed for </w:t>
      </w:r>
      <w:r>
        <w:rPr>
          <w:rFonts w:ascii="Times New Roman" w:hAnsi="Times New Roman" w:cs="Times New Roman"/>
          <w:b/>
          <w:bCs/>
          <w:sz w:val="24"/>
          <w:szCs w:val="24"/>
        </w:rPr>
        <w:t>Retired</w:t>
      </w:r>
      <w:r>
        <w:rPr>
          <w:rFonts w:ascii="Times New Roman" w:hAnsi="Times New Roman" w:cs="Times New Roman"/>
          <w:sz w:val="24"/>
          <w:szCs w:val="24"/>
        </w:rPr>
        <w:t xml:space="preserve"> (6.0%) and </w:t>
      </w:r>
      <w:r>
        <w:rPr>
          <w:rFonts w:ascii="Times New Roman" w:hAnsi="Times New Roman" w:cs="Times New Roman"/>
          <w:b/>
          <w:bCs/>
          <w:sz w:val="24"/>
          <w:szCs w:val="24"/>
        </w:rPr>
        <w:t>Unemployed</w:t>
      </w:r>
      <w:r>
        <w:rPr>
          <w:rFonts w:ascii="Times New Roman" w:hAnsi="Times New Roman" w:cs="Times New Roman"/>
          <w:sz w:val="24"/>
          <w:szCs w:val="24"/>
        </w:rPr>
        <w:t xml:space="preserve"> (7.2%) respondents.</w:t>
      </w:r>
    </w:p>
    <w:p w14:paraId="32409899">
      <w:pPr>
        <w:numPr>
          <w:ilvl w:val="0"/>
          <w:numId w:val="1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Education Level</w:t>
      </w:r>
      <w:r>
        <w:rPr>
          <w:rFonts w:ascii="Times New Roman" w:hAnsi="Times New Roman" w:cs="Times New Roman"/>
          <w:sz w:val="24"/>
          <w:szCs w:val="24"/>
        </w:rPr>
        <w:t>: Nearly half of the respondents (</w:t>
      </w:r>
      <w:r>
        <w:rPr>
          <w:rFonts w:ascii="Times New Roman" w:hAnsi="Times New Roman" w:cs="Times New Roman"/>
          <w:b/>
          <w:bCs/>
          <w:sz w:val="24"/>
          <w:szCs w:val="24"/>
        </w:rPr>
        <w:t>47.7%</w:t>
      </w:r>
      <w:r>
        <w:rPr>
          <w:rFonts w:ascii="Times New Roman" w:hAnsi="Times New Roman" w:cs="Times New Roman"/>
          <w:sz w:val="24"/>
          <w:szCs w:val="24"/>
        </w:rPr>
        <w:t xml:space="preserve">) have an </w:t>
      </w:r>
      <w:r>
        <w:rPr>
          <w:rFonts w:ascii="Times New Roman" w:hAnsi="Times New Roman" w:cs="Times New Roman"/>
          <w:b/>
          <w:bCs/>
          <w:sz w:val="24"/>
          <w:szCs w:val="24"/>
        </w:rPr>
        <w:t>Undergraduate</w:t>
      </w:r>
      <w:r>
        <w:rPr>
          <w:rFonts w:ascii="Times New Roman" w:hAnsi="Times New Roman" w:cs="Times New Roman"/>
          <w:sz w:val="24"/>
          <w:szCs w:val="24"/>
        </w:rPr>
        <w:t xml:space="preserve"> level of education, indicating a relatively educated user base. </w:t>
      </w:r>
      <w:r>
        <w:rPr>
          <w:rFonts w:ascii="Times New Roman" w:hAnsi="Times New Roman" w:cs="Times New Roman"/>
          <w:b/>
          <w:bCs/>
          <w:sz w:val="24"/>
          <w:szCs w:val="24"/>
        </w:rPr>
        <w:t>Postgraduate</w:t>
      </w:r>
      <w:r>
        <w:rPr>
          <w:rFonts w:ascii="Times New Roman" w:hAnsi="Times New Roman" w:cs="Times New Roman"/>
          <w:sz w:val="24"/>
          <w:szCs w:val="24"/>
        </w:rPr>
        <w:t xml:space="preserve"> degree holders make up </w:t>
      </w:r>
      <w:r>
        <w:rPr>
          <w:rFonts w:ascii="Times New Roman" w:hAnsi="Times New Roman" w:cs="Times New Roman"/>
          <w:b/>
          <w:bCs/>
          <w:sz w:val="24"/>
          <w:szCs w:val="24"/>
        </w:rPr>
        <w:t>21.7%</w:t>
      </w:r>
      <w:r>
        <w:rPr>
          <w:rFonts w:ascii="Times New Roman" w:hAnsi="Times New Roman" w:cs="Times New Roman"/>
          <w:sz w:val="24"/>
          <w:szCs w:val="24"/>
        </w:rPr>
        <w:t xml:space="preserve">, while </w:t>
      </w:r>
      <w:r>
        <w:rPr>
          <w:rFonts w:ascii="Times New Roman" w:hAnsi="Times New Roman" w:cs="Times New Roman"/>
          <w:b/>
          <w:bCs/>
          <w:sz w:val="24"/>
          <w:szCs w:val="24"/>
        </w:rPr>
        <w:t>26.0%</w:t>
      </w:r>
      <w:r>
        <w:rPr>
          <w:rFonts w:ascii="Times New Roman" w:hAnsi="Times New Roman" w:cs="Times New Roman"/>
          <w:sz w:val="24"/>
          <w:szCs w:val="24"/>
        </w:rPr>
        <w:t xml:space="preserve"> have completed only </w:t>
      </w:r>
      <w:r>
        <w:rPr>
          <w:rFonts w:ascii="Times New Roman" w:hAnsi="Times New Roman" w:cs="Times New Roman"/>
          <w:b/>
          <w:bCs/>
          <w:sz w:val="24"/>
          <w:szCs w:val="24"/>
        </w:rPr>
        <w:t>High School</w:t>
      </w:r>
      <w:r>
        <w:rPr>
          <w:rFonts w:ascii="Times New Roman" w:hAnsi="Times New Roman" w:cs="Times New Roman"/>
          <w:sz w:val="24"/>
          <w:szCs w:val="24"/>
        </w:rPr>
        <w:t>. This range of education levels provides a broad spectrum for analysis, as education may correlate with mobile service preferences and satisfaction.</w:t>
      </w:r>
    </w:p>
    <w:p w14:paraId="732AF23B">
      <w:pPr>
        <w:pStyle w:val="5"/>
        <w:bidi w:val="0"/>
        <w:spacing w:line="360" w:lineRule="auto"/>
        <w:jc w:val="center"/>
        <w:rPr>
          <w:rFonts w:ascii="Times New Roman" w:hAnsi="Times New Roman" w:cs="Times New Roman"/>
          <w:b/>
          <w:bCs/>
          <w:szCs w:val="24"/>
        </w:rPr>
      </w:pPr>
      <w:r>
        <w:t>Table 4.</w:t>
      </w:r>
      <w:r>
        <w:rPr>
          <w:rFonts w:hint="default"/>
          <w:lang w:val="en-US"/>
        </w:rPr>
        <w:t>1.</w:t>
      </w:r>
      <w:r>
        <w:t>3 Service Usage Distribution of Respondents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200"/>
        <w:gridCol w:w="1977"/>
        <w:gridCol w:w="1204"/>
        <w:gridCol w:w="1733"/>
      </w:tblGrid>
      <w:tr w14:paraId="57705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vAlign w:val="center"/>
          </w:tcPr>
          <w:p w14:paraId="519BBAA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Service Usage Variable</w:t>
            </w:r>
          </w:p>
        </w:tc>
        <w:tc>
          <w:tcPr>
            <w:tcW w:w="0" w:type="auto"/>
            <w:vAlign w:val="center"/>
          </w:tcPr>
          <w:p w14:paraId="5E55081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0" w:type="auto"/>
            <w:vAlign w:val="center"/>
          </w:tcPr>
          <w:p w14:paraId="7F2334C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0" w:type="auto"/>
            <w:vAlign w:val="center"/>
          </w:tcPr>
          <w:p w14:paraId="04AC0CB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4BB2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CAA2D38">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Average Monthly Spending (₦)</w:t>
            </w:r>
          </w:p>
        </w:tc>
        <w:tc>
          <w:tcPr>
            <w:tcW w:w="0" w:type="auto"/>
            <w:vAlign w:val="center"/>
          </w:tcPr>
          <w:p w14:paraId="7795828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₦1,000 - ₦5,000</w:t>
            </w:r>
          </w:p>
        </w:tc>
        <w:tc>
          <w:tcPr>
            <w:tcW w:w="0" w:type="auto"/>
            <w:vAlign w:val="center"/>
          </w:tcPr>
          <w:p w14:paraId="3DBC5B7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839</w:t>
            </w:r>
          </w:p>
        </w:tc>
        <w:tc>
          <w:tcPr>
            <w:tcW w:w="0" w:type="auto"/>
            <w:vAlign w:val="center"/>
          </w:tcPr>
          <w:p w14:paraId="7E0CCA1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60.7%</w:t>
            </w:r>
          </w:p>
        </w:tc>
      </w:tr>
      <w:tr w14:paraId="5A48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DCD4729">
            <w:pPr>
              <w:spacing w:after="0" w:line="360" w:lineRule="auto"/>
              <w:jc w:val="center"/>
              <w:rPr>
                <w:rFonts w:ascii="Times New Roman" w:hAnsi="Times New Roman" w:cs="Times New Roman"/>
                <w:sz w:val="24"/>
                <w:szCs w:val="24"/>
              </w:rPr>
            </w:pPr>
          </w:p>
        </w:tc>
        <w:tc>
          <w:tcPr>
            <w:tcW w:w="0" w:type="auto"/>
            <w:vAlign w:val="center"/>
          </w:tcPr>
          <w:p w14:paraId="172FAD7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₦5,001 - ₦10,000</w:t>
            </w:r>
          </w:p>
        </w:tc>
        <w:tc>
          <w:tcPr>
            <w:tcW w:w="0" w:type="auto"/>
            <w:vAlign w:val="center"/>
          </w:tcPr>
          <w:p w14:paraId="1B1F53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360</w:t>
            </w:r>
          </w:p>
        </w:tc>
        <w:tc>
          <w:tcPr>
            <w:tcW w:w="0" w:type="auto"/>
            <w:vAlign w:val="center"/>
          </w:tcPr>
          <w:p w14:paraId="1BDBCCB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5ADC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B257B12">
            <w:pPr>
              <w:spacing w:after="0" w:line="360" w:lineRule="auto"/>
              <w:jc w:val="center"/>
              <w:rPr>
                <w:rFonts w:ascii="Times New Roman" w:hAnsi="Times New Roman" w:cs="Times New Roman"/>
                <w:sz w:val="24"/>
                <w:szCs w:val="24"/>
              </w:rPr>
            </w:pPr>
          </w:p>
        </w:tc>
        <w:tc>
          <w:tcPr>
            <w:tcW w:w="0" w:type="auto"/>
            <w:vAlign w:val="center"/>
          </w:tcPr>
          <w:p w14:paraId="27EF405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₦10,001 - ₦20,000</w:t>
            </w:r>
          </w:p>
        </w:tc>
        <w:tc>
          <w:tcPr>
            <w:tcW w:w="0" w:type="auto"/>
            <w:vAlign w:val="center"/>
          </w:tcPr>
          <w:p w14:paraId="208381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140</w:t>
            </w:r>
          </w:p>
        </w:tc>
        <w:tc>
          <w:tcPr>
            <w:tcW w:w="0" w:type="auto"/>
            <w:vAlign w:val="center"/>
          </w:tcPr>
          <w:p w14:paraId="700715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10.1%</w:t>
            </w:r>
          </w:p>
        </w:tc>
      </w:tr>
      <w:tr w14:paraId="1E86E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659F5664">
            <w:pPr>
              <w:spacing w:after="0" w:line="360" w:lineRule="auto"/>
              <w:jc w:val="center"/>
              <w:rPr>
                <w:rFonts w:ascii="Times New Roman" w:hAnsi="Times New Roman" w:cs="Times New Roman"/>
                <w:sz w:val="24"/>
                <w:szCs w:val="24"/>
              </w:rPr>
            </w:pPr>
          </w:p>
        </w:tc>
        <w:tc>
          <w:tcPr>
            <w:tcW w:w="0" w:type="auto"/>
            <w:vAlign w:val="center"/>
          </w:tcPr>
          <w:p w14:paraId="2CC229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₦20,001+</w:t>
            </w:r>
          </w:p>
        </w:tc>
        <w:tc>
          <w:tcPr>
            <w:tcW w:w="0" w:type="auto"/>
            <w:vAlign w:val="center"/>
          </w:tcPr>
          <w:p w14:paraId="2FBA02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0" w:type="auto"/>
            <w:vAlign w:val="center"/>
          </w:tcPr>
          <w:p w14:paraId="0E0630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3.2%</w:t>
            </w:r>
          </w:p>
        </w:tc>
      </w:tr>
      <w:tr w14:paraId="65F83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155" w:type="dxa"/>
            <w:vAlign w:val="center"/>
          </w:tcPr>
          <w:p w14:paraId="6E1B361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947" w:type="dxa"/>
            <w:vAlign w:val="center"/>
          </w:tcPr>
          <w:p w14:paraId="0EC0F91A">
            <w:pPr>
              <w:spacing w:after="0" w:line="360" w:lineRule="auto"/>
              <w:jc w:val="center"/>
              <w:rPr>
                <w:rFonts w:ascii="Times New Roman" w:hAnsi="Times New Roman" w:cs="Times New Roman"/>
                <w:sz w:val="24"/>
                <w:szCs w:val="24"/>
              </w:rPr>
            </w:pPr>
          </w:p>
        </w:tc>
        <w:tc>
          <w:tcPr>
            <w:tcW w:w="1174" w:type="dxa"/>
            <w:vAlign w:val="center"/>
          </w:tcPr>
          <w:p w14:paraId="0772733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1688" w:type="dxa"/>
            <w:vAlign w:val="center"/>
          </w:tcPr>
          <w:p w14:paraId="49311C9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r w14:paraId="7BC2C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792283B">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Contract Length (Months)</w:t>
            </w:r>
          </w:p>
        </w:tc>
        <w:tc>
          <w:tcPr>
            <w:tcW w:w="0" w:type="auto"/>
            <w:vAlign w:val="center"/>
          </w:tcPr>
          <w:p w14:paraId="7D1E2B5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1 - 12 months</w:t>
            </w:r>
          </w:p>
        </w:tc>
        <w:tc>
          <w:tcPr>
            <w:tcW w:w="0" w:type="auto"/>
            <w:vAlign w:val="center"/>
          </w:tcPr>
          <w:p w14:paraId="09715C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0" w:type="auto"/>
            <w:vAlign w:val="center"/>
          </w:tcPr>
          <w:p w14:paraId="5CE9432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72.3%</w:t>
            </w:r>
          </w:p>
        </w:tc>
      </w:tr>
      <w:tr w14:paraId="3FCC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9EFC036">
            <w:pPr>
              <w:spacing w:after="0" w:line="360" w:lineRule="auto"/>
              <w:jc w:val="center"/>
              <w:rPr>
                <w:rFonts w:ascii="Times New Roman" w:hAnsi="Times New Roman" w:cs="Times New Roman"/>
                <w:sz w:val="24"/>
                <w:szCs w:val="24"/>
              </w:rPr>
            </w:pPr>
          </w:p>
        </w:tc>
        <w:tc>
          <w:tcPr>
            <w:tcW w:w="0" w:type="auto"/>
            <w:vAlign w:val="center"/>
          </w:tcPr>
          <w:p w14:paraId="7DADC64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13 - 24 months</w:t>
            </w:r>
          </w:p>
        </w:tc>
        <w:tc>
          <w:tcPr>
            <w:tcW w:w="0" w:type="auto"/>
            <w:vAlign w:val="center"/>
          </w:tcPr>
          <w:p w14:paraId="0E9CC34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241</w:t>
            </w:r>
          </w:p>
        </w:tc>
        <w:tc>
          <w:tcPr>
            <w:tcW w:w="0" w:type="auto"/>
            <w:vAlign w:val="center"/>
          </w:tcPr>
          <w:p w14:paraId="2EFD204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17.4%</w:t>
            </w:r>
          </w:p>
        </w:tc>
      </w:tr>
      <w:tr w14:paraId="1DB5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22E4DCE5">
            <w:pPr>
              <w:spacing w:after="0" w:line="360" w:lineRule="auto"/>
              <w:jc w:val="center"/>
              <w:rPr>
                <w:rFonts w:ascii="Times New Roman" w:hAnsi="Times New Roman" w:cs="Times New Roman"/>
                <w:sz w:val="24"/>
                <w:szCs w:val="24"/>
              </w:rPr>
            </w:pPr>
          </w:p>
        </w:tc>
        <w:tc>
          <w:tcPr>
            <w:tcW w:w="0" w:type="auto"/>
            <w:vAlign w:val="center"/>
          </w:tcPr>
          <w:p w14:paraId="40FAF9E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25 - 36 months</w:t>
            </w:r>
          </w:p>
        </w:tc>
        <w:tc>
          <w:tcPr>
            <w:tcW w:w="0" w:type="auto"/>
            <w:vAlign w:val="center"/>
          </w:tcPr>
          <w:p w14:paraId="775131E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102</w:t>
            </w:r>
          </w:p>
        </w:tc>
        <w:tc>
          <w:tcPr>
            <w:tcW w:w="0" w:type="auto"/>
            <w:vAlign w:val="center"/>
          </w:tcPr>
          <w:p w14:paraId="00F3A2B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7.4%</w:t>
            </w:r>
          </w:p>
        </w:tc>
      </w:tr>
      <w:tr w14:paraId="0D67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62F11B1">
            <w:pPr>
              <w:spacing w:after="0" w:line="360" w:lineRule="auto"/>
              <w:jc w:val="center"/>
              <w:rPr>
                <w:rFonts w:ascii="Times New Roman" w:hAnsi="Times New Roman" w:cs="Times New Roman"/>
                <w:sz w:val="24"/>
                <w:szCs w:val="24"/>
              </w:rPr>
            </w:pPr>
          </w:p>
        </w:tc>
        <w:tc>
          <w:tcPr>
            <w:tcW w:w="0" w:type="auto"/>
            <w:vAlign w:val="center"/>
          </w:tcPr>
          <w:p w14:paraId="16C6884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37+ months</w:t>
            </w:r>
          </w:p>
        </w:tc>
        <w:tc>
          <w:tcPr>
            <w:tcW w:w="0" w:type="auto"/>
            <w:vAlign w:val="center"/>
          </w:tcPr>
          <w:p w14:paraId="5968082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40</w:t>
            </w:r>
          </w:p>
        </w:tc>
        <w:tc>
          <w:tcPr>
            <w:tcW w:w="0" w:type="auto"/>
            <w:vAlign w:val="center"/>
          </w:tcPr>
          <w:p w14:paraId="070CB42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2.9%</w:t>
            </w:r>
          </w:p>
        </w:tc>
      </w:tr>
      <w:tr w14:paraId="77A3D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7D6E9E4">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0" w:type="auto"/>
            <w:vAlign w:val="center"/>
          </w:tcPr>
          <w:p w14:paraId="1AD79F8E">
            <w:pPr>
              <w:spacing w:after="0" w:line="360" w:lineRule="auto"/>
              <w:jc w:val="center"/>
              <w:rPr>
                <w:rFonts w:ascii="Times New Roman" w:hAnsi="Times New Roman" w:cs="Times New Roman"/>
                <w:sz w:val="24"/>
                <w:szCs w:val="24"/>
              </w:rPr>
            </w:pPr>
          </w:p>
        </w:tc>
        <w:tc>
          <w:tcPr>
            <w:tcW w:w="0" w:type="auto"/>
            <w:vAlign w:val="center"/>
          </w:tcPr>
          <w:p w14:paraId="5D10C84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0" w:type="auto"/>
            <w:vAlign w:val="center"/>
          </w:tcPr>
          <w:p w14:paraId="67DF2BE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684848E7">
      <w:pPr>
        <w:spacing w:after="0" w:line="360" w:lineRule="auto"/>
        <w:jc w:val="both"/>
        <w:rPr>
          <w:rFonts w:ascii="Times New Roman" w:hAnsi="Times New Roman" w:cs="Times New Roman"/>
          <w:sz w:val="24"/>
          <w:szCs w:val="24"/>
        </w:rPr>
      </w:pPr>
    </w:p>
    <w:p w14:paraId="26EA53F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06A33519">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Average Monthly Spending</w:t>
      </w:r>
      <w:r>
        <w:rPr>
          <w:rFonts w:ascii="Times New Roman" w:hAnsi="Times New Roman" w:cs="Times New Roman"/>
          <w:sz w:val="24"/>
          <w:szCs w:val="24"/>
        </w:rPr>
        <w:t>: The majority of respondents (</w:t>
      </w:r>
      <w:r>
        <w:rPr>
          <w:rFonts w:ascii="Times New Roman" w:hAnsi="Times New Roman" w:cs="Times New Roman"/>
          <w:b/>
          <w:bCs/>
          <w:sz w:val="24"/>
          <w:szCs w:val="24"/>
        </w:rPr>
        <w:t>60.7%</w:t>
      </w:r>
      <w:r>
        <w:rPr>
          <w:rFonts w:ascii="Times New Roman" w:hAnsi="Times New Roman" w:cs="Times New Roman"/>
          <w:sz w:val="24"/>
          <w:szCs w:val="24"/>
        </w:rPr>
        <w:t xml:space="preserve">) spend between </w:t>
      </w:r>
      <w:r>
        <w:rPr>
          <w:rFonts w:ascii="Times New Roman" w:hAnsi="Times New Roman" w:cs="Times New Roman"/>
          <w:b/>
          <w:bCs/>
          <w:sz w:val="24"/>
          <w:szCs w:val="24"/>
        </w:rPr>
        <w:t>₦1,000 - ₦5,000</w:t>
      </w:r>
      <w:r>
        <w:rPr>
          <w:rFonts w:ascii="Times New Roman" w:hAnsi="Times New Roman" w:cs="Times New Roman"/>
          <w:sz w:val="24"/>
          <w:szCs w:val="24"/>
        </w:rPr>
        <w:t xml:space="preserve"> monthly, highlighting that most users fall within a lower spending range, typical of prepaid customers. Only a small fraction (</w:t>
      </w:r>
      <w:r>
        <w:rPr>
          <w:rFonts w:ascii="Times New Roman" w:hAnsi="Times New Roman" w:cs="Times New Roman"/>
          <w:b/>
          <w:bCs/>
          <w:sz w:val="24"/>
          <w:szCs w:val="24"/>
        </w:rPr>
        <w:t>3.2%</w:t>
      </w:r>
      <w:r>
        <w:rPr>
          <w:rFonts w:ascii="Times New Roman" w:hAnsi="Times New Roman" w:cs="Times New Roman"/>
          <w:sz w:val="24"/>
          <w:szCs w:val="24"/>
        </w:rPr>
        <w:t xml:space="preserve">) spend over </w:t>
      </w:r>
      <w:r>
        <w:rPr>
          <w:rFonts w:ascii="Times New Roman" w:hAnsi="Times New Roman" w:cs="Times New Roman"/>
          <w:b/>
          <w:bCs/>
          <w:sz w:val="24"/>
          <w:szCs w:val="24"/>
        </w:rPr>
        <w:t>₦20,001</w:t>
      </w:r>
      <w:r>
        <w:rPr>
          <w:rFonts w:ascii="Times New Roman" w:hAnsi="Times New Roman" w:cs="Times New Roman"/>
          <w:sz w:val="24"/>
          <w:szCs w:val="24"/>
        </w:rPr>
        <w:t>, representing a premium user base.</w:t>
      </w:r>
    </w:p>
    <w:p w14:paraId="63994324">
      <w:pPr>
        <w:numPr>
          <w:ilvl w:val="0"/>
          <w:numId w:val="12"/>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Contract Length</w:t>
      </w:r>
      <w:r>
        <w:rPr>
          <w:rFonts w:ascii="Times New Roman" w:hAnsi="Times New Roman" w:cs="Times New Roman"/>
          <w:sz w:val="24"/>
          <w:szCs w:val="24"/>
        </w:rPr>
        <w:t>: Most respondents (</w:t>
      </w:r>
      <w:r>
        <w:rPr>
          <w:rFonts w:ascii="Times New Roman" w:hAnsi="Times New Roman" w:cs="Times New Roman"/>
          <w:b/>
          <w:bCs/>
          <w:sz w:val="24"/>
          <w:szCs w:val="24"/>
        </w:rPr>
        <w:t>72.3%</w:t>
      </w:r>
      <w:r>
        <w:rPr>
          <w:rFonts w:ascii="Times New Roman" w:hAnsi="Times New Roman" w:cs="Times New Roman"/>
          <w:sz w:val="24"/>
          <w:szCs w:val="24"/>
        </w:rPr>
        <w:t xml:space="preserve">) have had contracts or subscriptions for </w:t>
      </w:r>
      <w:r>
        <w:rPr>
          <w:rFonts w:ascii="Times New Roman" w:hAnsi="Times New Roman" w:cs="Times New Roman"/>
          <w:b/>
          <w:bCs/>
          <w:sz w:val="24"/>
          <w:szCs w:val="24"/>
        </w:rPr>
        <w:t>1 - 12 months</w:t>
      </w:r>
      <w:r>
        <w:rPr>
          <w:rFonts w:ascii="Times New Roman" w:hAnsi="Times New Roman" w:cs="Times New Roman"/>
          <w:sz w:val="24"/>
          <w:szCs w:val="24"/>
        </w:rPr>
        <w:t xml:space="preserve">, which aligns with the high churn rates typically seen in short-term engagements. Only </w:t>
      </w:r>
      <w:r>
        <w:rPr>
          <w:rFonts w:ascii="Times New Roman" w:hAnsi="Times New Roman" w:cs="Times New Roman"/>
          <w:b/>
          <w:bCs/>
          <w:sz w:val="24"/>
          <w:szCs w:val="24"/>
        </w:rPr>
        <w:t>2.9%</w:t>
      </w:r>
      <w:r>
        <w:rPr>
          <w:rFonts w:ascii="Times New Roman" w:hAnsi="Times New Roman" w:cs="Times New Roman"/>
          <w:sz w:val="24"/>
          <w:szCs w:val="24"/>
        </w:rPr>
        <w:t xml:space="preserve"> have been subscribed for over </w:t>
      </w:r>
      <w:r>
        <w:rPr>
          <w:rFonts w:ascii="Times New Roman" w:hAnsi="Times New Roman" w:cs="Times New Roman"/>
          <w:b/>
          <w:bCs/>
          <w:sz w:val="24"/>
          <w:szCs w:val="24"/>
        </w:rPr>
        <w:t>37 months</w:t>
      </w:r>
      <w:r>
        <w:rPr>
          <w:rFonts w:ascii="Times New Roman" w:hAnsi="Times New Roman" w:cs="Times New Roman"/>
          <w:sz w:val="24"/>
          <w:szCs w:val="24"/>
        </w:rPr>
        <w:t>, suggesting a limited long-term customer base.</w:t>
      </w:r>
    </w:p>
    <w:p w14:paraId="09B1B83D">
      <w:pPr>
        <w:pStyle w:val="5"/>
        <w:bidi w:val="0"/>
        <w:spacing w:line="360" w:lineRule="auto"/>
        <w:jc w:val="center"/>
        <w:rPr>
          <w:rFonts w:ascii="Times New Roman" w:hAnsi="Times New Roman" w:cs="Times New Roman"/>
          <w:b/>
          <w:bCs/>
          <w:szCs w:val="24"/>
        </w:rPr>
      </w:pPr>
      <w:r>
        <w:t>Table 4.</w:t>
      </w:r>
      <w:r>
        <w:rPr>
          <w:rFonts w:hint="default"/>
          <w:lang w:val="en-US"/>
        </w:rPr>
        <w:t>1.</w:t>
      </w:r>
      <w:r>
        <w:t>4</w:t>
      </w:r>
      <w:r>
        <w:rPr>
          <w:rFonts w:hint="default"/>
          <w:lang w:val="en-US"/>
        </w:rPr>
        <w:t xml:space="preserve"> </w:t>
      </w:r>
      <w:r>
        <w:t>Monthly Call Duration, Data Usage and Communication Method</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327"/>
        <w:gridCol w:w="2030"/>
        <w:gridCol w:w="1204"/>
        <w:gridCol w:w="1733"/>
      </w:tblGrid>
      <w:tr w14:paraId="5BFC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1F5AED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Service Usage Variable</w:t>
            </w:r>
          </w:p>
        </w:tc>
        <w:tc>
          <w:tcPr>
            <w:tcW w:w="0" w:type="auto"/>
            <w:vAlign w:val="center"/>
          </w:tcPr>
          <w:p w14:paraId="4940334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0" w:type="auto"/>
            <w:vAlign w:val="center"/>
          </w:tcPr>
          <w:p w14:paraId="3EFD3E0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0" w:type="auto"/>
            <w:vAlign w:val="center"/>
          </w:tcPr>
          <w:p w14:paraId="1442A68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25C7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0A15F60">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Monthly Call Duration</w:t>
            </w:r>
          </w:p>
        </w:tc>
        <w:tc>
          <w:tcPr>
            <w:tcW w:w="0" w:type="auto"/>
            <w:vAlign w:val="center"/>
          </w:tcPr>
          <w:p w14:paraId="49D48BB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0 - 200 minutes</w:t>
            </w:r>
          </w:p>
        </w:tc>
        <w:tc>
          <w:tcPr>
            <w:tcW w:w="0" w:type="auto"/>
            <w:vAlign w:val="center"/>
          </w:tcPr>
          <w:p w14:paraId="7A00BAE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701</w:t>
            </w:r>
          </w:p>
        </w:tc>
        <w:tc>
          <w:tcPr>
            <w:tcW w:w="0" w:type="auto"/>
            <w:vAlign w:val="center"/>
          </w:tcPr>
          <w:p w14:paraId="090F29E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50.6%</w:t>
            </w:r>
          </w:p>
        </w:tc>
      </w:tr>
      <w:tr w14:paraId="31C8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6A94E349">
            <w:pPr>
              <w:spacing w:after="0" w:line="360" w:lineRule="auto"/>
              <w:jc w:val="center"/>
              <w:rPr>
                <w:rFonts w:ascii="Times New Roman" w:hAnsi="Times New Roman" w:cs="Times New Roman"/>
                <w:sz w:val="24"/>
                <w:szCs w:val="24"/>
              </w:rPr>
            </w:pPr>
          </w:p>
        </w:tc>
        <w:tc>
          <w:tcPr>
            <w:tcW w:w="0" w:type="auto"/>
            <w:vAlign w:val="center"/>
          </w:tcPr>
          <w:p w14:paraId="6CE063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201 - 500 minutes</w:t>
            </w:r>
          </w:p>
        </w:tc>
        <w:tc>
          <w:tcPr>
            <w:tcW w:w="0" w:type="auto"/>
            <w:vAlign w:val="center"/>
          </w:tcPr>
          <w:p w14:paraId="77513D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0" w:type="auto"/>
            <w:vAlign w:val="center"/>
          </w:tcPr>
          <w:p w14:paraId="02AC947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6CE25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8768033">
            <w:pPr>
              <w:spacing w:after="0" w:line="360" w:lineRule="auto"/>
              <w:jc w:val="center"/>
              <w:rPr>
                <w:rFonts w:ascii="Times New Roman" w:hAnsi="Times New Roman" w:cs="Times New Roman"/>
                <w:sz w:val="24"/>
                <w:szCs w:val="24"/>
              </w:rPr>
            </w:pPr>
          </w:p>
        </w:tc>
        <w:tc>
          <w:tcPr>
            <w:tcW w:w="0" w:type="auto"/>
            <w:vAlign w:val="center"/>
          </w:tcPr>
          <w:p w14:paraId="75212F9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501 - 1,000 minutes</w:t>
            </w:r>
          </w:p>
        </w:tc>
        <w:tc>
          <w:tcPr>
            <w:tcW w:w="0" w:type="auto"/>
            <w:vAlign w:val="center"/>
          </w:tcPr>
          <w:p w14:paraId="152BB8D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189</w:t>
            </w:r>
          </w:p>
        </w:tc>
        <w:tc>
          <w:tcPr>
            <w:tcW w:w="0" w:type="auto"/>
            <w:vAlign w:val="center"/>
          </w:tcPr>
          <w:p w14:paraId="495F6CE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13.7%</w:t>
            </w:r>
          </w:p>
        </w:tc>
      </w:tr>
      <w:tr w14:paraId="43E2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26AEEC3">
            <w:pPr>
              <w:spacing w:after="0" w:line="360" w:lineRule="auto"/>
              <w:jc w:val="center"/>
              <w:rPr>
                <w:rFonts w:ascii="Times New Roman" w:hAnsi="Times New Roman" w:cs="Times New Roman"/>
                <w:sz w:val="24"/>
                <w:szCs w:val="24"/>
              </w:rPr>
            </w:pPr>
          </w:p>
        </w:tc>
        <w:tc>
          <w:tcPr>
            <w:tcW w:w="0" w:type="auto"/>
            <w:vAlign w:val="center"/>
          </w:tcPr>
          <w:p w14:paraId="1B567FD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1,001+ minutes</w:t>
            </w:r>
          </w:p>
        </w:tc>
        <w:tc>
          <w:tcPr>
            <w:tcW w:w="0" w:type="auto"/>
            <w:vAlign w:val="center"/>
          </w:tcPr>
          <w:p w14:paraId="60731C2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73</w:t>
            </w:r>
          </w:p>
        </w:tc>
        <w:tc>
          <w:tcPr>
            <w:tcW w:w="0" w:type="auto"/>
            <w:vAlign w:val="center"/>
          </w:tcPr>
          <w:p w14:paraId="3B0B846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5.3%</w:t>
            </w:r>
          </w:p>
        </w:tc>
      </w:tr>
      <w:tr w14:paraId="7F19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282" w:type="dxa"/>
            <w:vAlign w:val="center"/>
          </w:tcPr>
          <w:p w14:paraId="66DB20F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2000" w:type="dxa"/>
            <w:vAlign w:val="center"/>
          </w:tcPr>
          <w:p w14:paraId="3F6E969F">
            <w:pPr>
              <w:spacing w:after="0" w:line="360" w:lineRule="auto"/>
              <w:jc w:val="center"/>
              <w:rPr>
                <w:rFonts w:ascii="Times New Roman" w:hAnsi="Times New Roman" w:cs="Times New Roman"/>
                <w:sz w:val="24"/>
                <w:szCs w:val="24"/>
              </w:rPr>
            </w:pPr>
          </w:p>
        </w:tc>
        <w:tc>
          <w:tcPr>
            <w:tcW w:w="1174" w:type="dxa"/>
            <w:vAlign w:val="center"/>
          </w:tcPr>
          <w:p w14:paraId="57468E89">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1688" w:type="dxa"/>
            <w:vAlign w:val="center"/>
          </w:tcPr>
          <w:p w14:paraId="186DA94D">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r w14:paraId="7E78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194A135">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Monthly Data Usage</w:t>
            </w:r>
          </w:p>
        </w:tc>
        <w:tc>
          <w:tcPr>
            <w:tcW w:w="0" w:type="auto"/>
            <w:vAlign w:val="center"/>
          </w:tcPr>
          <w:p w14:paraId="6DF96F2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0 - 5 GB</w:t>
            </w:r>
          </w:p>
        </w:tc>
        <w:tc>
          <w:tcPr>
            <w:tcW w:w="0" w:type="auto"/>
            <w:vAlign w:val="center"/>
          </w:tcPr>
          <w:p w14:paraId="15292F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560</w:t>
            </w:r>
          </w:p>
        </w:tc>
        <w:tc>
          <w:tcPr>
            <w:tcW w:w="0" w:type="auto"/>
            <w:vAlign w:val="center"/>
          </w:tcPr>
          <w:p w14:paraId="67FD60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40.5%</w:t>
            </w:r>
          </w:p>
        </w:tc>
      </w:tr>
      <w:tr w14:paraId="66B4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6F768B6D">
            <w:pPr>
              <w:spacing w:after="0" w:line="360" w:lineRule="auto"/>
              <w:jc w:val="center"/>
              <w:rPr>
                <w:rFonts w:ascii="Times New Roman" w:hAnsi="Times New Roman" w:cs="Times New Roman"/>
                <w:sz w:val="24"/>
                <w:szCs w:val="24"/>
              </w:rPr>
            </w:pPr>
          </w:p>
        </w:tc>
        <w:tc>
          <w:tcPr>
            <w:tcW w:w="0" w:type="auto"/>
            <w:vAlign w:val="center"/>
          </w:tcPr>
          <w:p w14:paraId="31CFCDC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6 - 15 GB</w:t>
            </w:r>
          </w:p>
        </w:tc>
        <w:tc>
          <w:tcPr>
            <w:tcW w:w="0" w:type="auto"/>
            <w:vAlign w:val="center"/>
          </w:tcPr>
          <w:p w14:paraId="0C155A6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500</w:t>
            </w:r>
          </w:p>
        </w:tc>
        <w:tc>
          <w:tcPr>
            <w:tcW w:w="0" w:type="auto"/>
            <w:vAlign w:val="center"/>
          </w:tcPr>
          <w:p w14:paraId="2A38F8F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36.2%</w:t>
            </w:r>
          </w:p>
        </w:tc>
      </w:tr>
      <w:tr w14:paraId="4484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5FCC094">
            <w:pPr>
              <w:spacing w:after="0" w:line="360" w:lineRule="auto"/>
              <w:jc w:val="center"/>
              <w:rPr>
                <w:rFonts w:ascii="Times New Roman" w:hAnsi="Times New Roman" w:cs="Times New Roman"/>
                <w:sz w:val="24"/>
                <w:szCs w:val="24"/>
              </w:rPr>
            </w:pPr>
          </w:p>
        </w:tc>
        <w:tc>
          <w:tcPr>
            <w:tcW w:w="0" w:type="auto"/>
            <w:vAlign w:val="center"/>
          </w:tcPr>
          <w:p w14:paraId="3C74C8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16 - 30 GB</w:t>
            </w:r>
          </w:p>
        </w:tc>
        <w:tc>
          <w:tcPr>
            <w:tcW w:w="0" w:type="auto"/>
            <w:vAlign w:val="center"/>
          </w:tcPr>
          <w:p w14:paraId="674E14A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250</w:t>
            </w:r>
          </w:p>
        </w:tc>
        <w:tc>
          <w:tcPr>
            <w:tcW w:w="0" w:type="auto"/>
            <w:vAlign w:val="center"/>
          </w:tcPr>
          <w:p w14:paraId="397B269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18.1%</w:t>
            </w:r>
          </w:p>
        </w:tc>
      </w:tr>
      <w:tr w14:paraId="5C52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829C5E2">
            <w:pPr>
              <w:spacing w:after="0" w:line="360" w:lineRule="auto"/>
              <w:jc w:val="center"/>
              <w:rPr>
                <w:rFonts w:ascii="Times New Roman" w:hAnsi="Times New Roman" w:cs="Times New Roman"/>
                <w:sz w:val="24"/>
                <w:szCs w:val="24"/>
              </w:rPr>
            </w:pPr>
          </w:p>
        </w:tc>
        <w:tc>
          <w:tcPr>
            <w:tcW w:w="0" w:type="auto"/>
            <w:vAlign w:val="center"/>
          </w:tcPr>
          <w:p w14:paraId="359947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 GB</w:t>
            </w:r>
          </w:p>
        </w:tc>
        <w:tc>
          <w:tcPr>
            <w:tcW w:w="0" w:type="auto"/>
            <w:vAlign w:val="center"/>
          </w:tcPr>
          <w:p w14:paraId="5464F9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73</w:t>
            </w:r>
          </w:p>
        </w:tc>
        <w:tc>
          <w:tcPr>
            <w:tcW w:w="0" w:type="auto"/>
            <w:vAlign w:val="center"/>
          </w:tcPr>
          <w:p w14:paraId="40B78AB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5.3%</w:t>
            </w:r>
          </w:p>
        </w:tc>
      </w:tr>
      <w:tr w14:paraId="4165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282" w:type="dxa"/>
            <w:vAlign w:val="center"/>
          </w:tcPr>
          <w:p w14:paraId="1C56B2D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2000" w:type="dxa"/>
            <w:vAlign w:val="center"/>
          </w:tcPr>
          <w:p w14:paraId="16A8F52D">
            <w:pPr>
              <w:spacing w:after="0" w:line="360" w:lineRule="auto"/>
              <w:jc w:val="center"/>
              <w:rPr>
                <w:rFonts w:ascii="Times New Roman" w:hAnsi="Times New Roman" w:cs="Times New Roman"/>
                <w:sz w:val="24"/>
                <w:szCs w:val="24"/>
              </w:rPr>
            </w:pPr>
          </w:p>
        </w:tc>
        <w:tc>
          <w:tcPr>
            <w:tcW w:w="1174" w:type="dxa"/>
            <w:vAlign w:val="center"/>
          </w:tcPr>
          <w:p w14:paraId="622201C2">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1688" w:type="dxa"/>
            <w:vAlign w:val="center"/>
          </w:tcPr>
          <w:p w14:paraId="08C27950">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r w14:paraId="16548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5A0533EA">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Primary Communication Method</w:t>
            </w:r>
          </w:p>
        </w:tc>
        <w:tc>
          <w:tcPr>
            <w:tcW w:w="0" w:type="auto"/>
            <w:vAlign w:val="center"/>
          </w:tcPr>
          <w:p w14:paraId="14A58C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Voice Calls</w:t>
            </w:r>
          </w:p>
        </w:tc>
        <w:tc>
          <w:tcPr>
            <w:tcW w:w="0" w:type="auto"/>
            <w:vAlign w:val="center"/>
          </w:tcPr>
          <w:p w14:paraId="2E0CB57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640</w:t>
            </w:r>
          </w:p>
        </w:tc>
        <w:tc>
          <w:tcPr>
            <w:tcW w:w="0" w:type="auto"/>
            <w:vAlign w:val="center"/>
          </w:tcPr>
          <w:p w14:paraId="389A665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46.3%</w:t>
            </w:r>
          </w:p>
        </w:tc>
      </w:tr>
      <w:tr w14:paraId="3EC7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3800F38">
            <w:pPr>
              <w:spacing w:after="0" w:line="360" w:lineRule="auto"/>
              <w:jc w:val="center"/>
              <w:rPr>
                <w:rFonts w:ascii="Times New Roman" w:hAnsi="Times New Roman" w:cs="Times New Roman"/>
                <w:sz w:val="24"/>
                <w:szCs w:val="24"/>
              </w:rPr>
            </w:pPr>
          </w:p>
        </w:tc>
        <w:tc>
          <w:tcPr>
            <w:tcW w:w="0" w:type="auto"/>
            <w:vAlign w:val="center"/>
          </w:tcPr>
          <w:p w14:paraId="22D4C19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Text Messaging</w:t>
            </w:r>
          </w:p>
        </w:tc>
        <w:tc>
          <w:tcPr>
            <w:tcW w:w="0" w:type="auto"/>
            <w:vAlign w:val="center"/>
          </w:tcPr>
          <w:p w14:paraId="5713AD6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160</w:t>
            </w:r>
          </w:p>
        </w:tc>
        <w:tc>
          <w:tcPr>
            <w:tcW w:w="0" w:type="auto"/>
            <w:vAlign w:val="center"/>
          </w:tcPr>
          <w:p w14:paraId="28F0F3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11.6%</w:t>
            </w:r>
          </w:p>
        </w:tc>
      </w:tr>
      <w:tr w14:paraId="5B63D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43B1CE0">
            <w:pPr>
              <w:spacing w:after="0" w:line="360" w:lineRule="auto"/>
              <w:jc w:val="center"/>
              <w:rPr>
                <w:rFonts w:ascii="Times New Roman" w:hAnsi="Times New Roman" w:cs="Times New Roman"/>
                <w:sz w:val="24"/>
                <w:szCs w:val="24"/>
              </w:rPr>
            </w:pPr>
          </w:p>
        </w:tc>
        <w:tc>
          <w:tcPr>
            <w:tcW w:w="0" w:type="auto"/>
            <w:vAlign w:val="center"/>
          </w:tcPr>
          <w:p w14:paraId="1ACFBE0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Internet/Data</w:t>
            </w:r>
          </w:p>
        </w:tc>
        <w:tc>
          <w:tcPr>
            <w:tcW w:w="0" w:type="auto"/>
            <w:vAlign w:val="center"/>
          </w:tcPr>
          <w:p w14:paraId="2EB9E7B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524</w:t>
            </w:r>
          </w:p>
        </w:tc>
        <w:tc>
          <w:tcPr>
            <w:tcW w:w="0" w:type="auto"/>
            <w:vAlign w:val="center"/>
          </w:tcPr>
          <w:p w14:paraId="2CFC054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37.8%</w:t>
            </w:r>
          </w:p>
        </w:tc>
      </w:tr>
      <w:tr w14:paraId="4456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20C5FCF2">
            <w:pPr>
              <w:spacing w:after="0" w:line="360" w:lineRule="auto"/>
              <w:jc w:val="center"/>
              <w:rPr>
                <w:rFonts w:ascii="Times New Roman" w:hAnsi="Times New Roman" w:cs="Times New Roman"/>
                <w:sz w:val="24"/>
                <w:szCs w:val="24"/>
              </w:rPr>
            </w:pPr>
          </w:p>
        </w:tc>
        <w:tc>
          <w:tcPr>
            <w:tcW w:w="0" w:type="auto"/>
            <w:vAlign w:val="center"/>
          </w:tcPr>
          <w:p w14:paraId="66858F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Other</w:t>
            </w:r>
          </w:p>
        </w:tc>
        <w:tc>
          <w:tcPr>
            <w:tcW w:w="0" w:type="auto"/>
            <w:vAlign w:val="center"/>
          </w:tcPr>
          <w:p w14:paraId="2CEB8F8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59</w:t>
            </w:r>
          </w:p>
        </w:tc>
        <w:tc>
          <w:tcPr>
            <w:tcW w:w="0" w:type="auto"/>
            <w:vAlign w:val="center"/>
          </w:tcPr>
          <w:p w14:paraId="63EE343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4.3%</w:t>
            </w:r>
          </w:p>
        </w:tc>
      </w:tr>
      <w:tr w14:paraId="24E2A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55FD769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0" w:type="auto"/>
            <w:vAlign w:val="center"/>
          </w:tcPr>
          <w:p w14:paraId="77BB6B0D">
            <w:pPr>
              <w:spacing w:after="0" w:line="360" w:lineRule="auto"/>
              <w:jc w:val="center"/>
              <w:rPr>
                <w:rFonts w:ascii="Times New Roman" w:hAnsi="Times New Roman" w:cs="Times New Roman"/>
                <w:b/>
                <w:bCs/>
                <w:sz w:val="24"/>
                <w:szCs w:val="24"/>
              </w:rPr>
            </w:pPr>
          </w:p>
        </w:tc>
        <w:tc>
          <w:tcPr>
            <w:tcW w:w="0" w:type="auto"/>
            <w:vAlign w:val="center"/>
          </w:tcPr>
          <w:p w14:paraId="6C06B6A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0" w:type="auto"/>
            <w:vAlign w:val="center"/>
          </w:tcPr>
          <w:p w14:paraId="5899F1E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3A69746D">
      <w:pPr>
        <w:spacing w:after="0" w:line="360" w:lineRule="auto"/>
        <w:jc w:val="both"/>
        <w:rPr>
          <w:rFonts w:ascii="Times New Roman" w:hAnsi="Times New Roman" w:cs="Times New Roman"/>
          <w:b/>
          <w:bCs/>
          <w:sz w:val="24"/>
          <w:szCs w:val="24"/>
        </w:rPr>
      </w:pPr>
    </w:p>
    <w:p w14:paraId="015C8BF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6725F0B">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Monthly Call Duration</w:t>
      </w:r>
      <w:r>
        <w:rPr>
          <w:rFonts w:ascii="Times New Roman" w:hAnsi="Times New Roman" w:cs="Times New Roman"/>
          <w:sz w:val="24"/>
          <w:szCs w:val="24"/>
        </w:rPr>
        <w:t xml:space="preserve">: Over </w:t>
      </w:r>
      <w:r>
        <w:rPr>
          <w:rFonts w:ascii="Times New Roman" w:hAnsi="Times New Roman" w:cs="Times New Roman"/>
          <w:b/>
          <w:bCs/>
          <w:sz w:val="24"/>
          <w:szCs w:val="24"/>
        </w:rPr>
        <w:t>50.6%</w:t>
      </w:r>
      <w:r>
        <w:rPr>
          <w:rFonts w:ascii="Times New Roman" w:hAnsi="Times New Roman" w:cs="Times New Roman"/>
          <w:sz w:val="24"/>
          <w:szCs w:val="24"/>
        </w:rPr>
        <w:t xml:space="preserve"> of respondents use </w:t>
      </w:r>
      <w:r>
        <w:rPr>
          <w:rFonts w:ascii="Times New Roman" w:hAnsi="Times New Roman" w:cs="Times New Roman"/>
          <w:b/>
          <w:bCs/>
          <w:sz w:val="24"/>
          <w:szCs w:val="24"/>
        </w:rPr>
        <w:t>0 - 200 minutes</w:t>
      </w:r>
      <w:r>
        <w:rPr>
          <w:rFonts w:ascii="Times New Roman" w:hAnsi="Times New Roman" w:cs="Times New Roman"/>
          <w:sz w:val="24"/>
          <w:szCs w:val="24"/>
        </w:rPr>
        <w:t xml:space="preserve"> monthly, indicating relatively low call activity. Only </w:t>
      </w:r>
      <w:r>
        <w:rPr>
          <w:rFonts w:ascii="Times New Roman" w:hAnsi="Times New Roman" w:cs="Times New Roman"/>
          <w:b/>
          <w:bCs/>
          <w:sz w:val="24"/>
          <w:szCs w:val="24"/>
        </w:rPr>
        <w:t>5.3%</w:t>
      </w:r>
      <w:r>
        <w:rPr>
          <w:rFonts w:ascii="Times New Roman" w:hAnsi="Times New Roman" w:cs="Times New Roman"/>
          <w:sz w:val="24"/>
          <w:szCs w:val="24"/>
        </w:rPr>
        <w:t xml:space="preserve"> report heavy call usage exceeding </w:t>
      </w:r>
      <w:r>
        <w:rPr>
          <w:rFonts w:ascii="Times New Roman" w:hAnsi="Times New Roman" w:cs="Times New Roman"/>
          <w:b/>
          <w:bCs/>
          <w:sz w:val="24"/>
          <w:szCs w:val="24"/>
        </w:rPr>
        <w:t>1,001 minutes</w:t>
      </w:r>
      <w:r>
        <w:rPr>
          <w:rFonts w:ascii="Times New Roman" w:hAnsi="Times New Roman" w:cs="Times New Roman"/>
          <w:sz w:val="24"/>
          <w:szCs w:val="24"/>
        </w:rPr>
        <w:t>, representing high-call users.</w:t>
      </w:r>
    </w:p>
    <w:p w14:paraId="7CB4FA71">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Monthly Data Usage</w:t>
      </w:r>
      <w:r>
        <w:rPr>
          <w:rFonts w:ascii="Times New Roman" w:hAnsi="Times New Roman" w:cs="Times New Roman"/>
          <w:sz w:val="24"/>
          <w:szCs w:val="24"/>
        </w:rPr>
        <w:t>: Most respondents (</w:t>
      </w:r>
      <w:r>
        <w:rPr>
          <w:rFonts w:ascii="Times New Roman" w:hAnsi="Times New Roman" w:cs="Times New Roman"/>
          <w:b/>
          <w:bCs/>
          <w:sz w:val="24"/>
          <w:szCs w:val="24"/>
        </w:rPr>
        <w:t>40.5%</w:t>
      </w:r>
      <w:r>
        <w:rPr>
          <w:rFonts w:ascii="Times New Roman" w:hAnsi="Times New Roman" w:cs="Times New Roman"/>
          <w:sz w:val="24"/>
          <w:szCs w:val="24"/>
        </w:rPr>
        <w:t xml:space="preserve">) use between </w:t>
      </w:r>
      <w:r>
        <w:rPr>
          <w:rFonts w:ascii="Times New Roman" w:hAnsi="Times New Roman" w:cs="Times New Roman"/>
          <w:b/>
          <w:bCs/>
          <w:sz w:val="24"/>
          <w:szCs w:val="24"/>
        </w:rPr>
        <w:t>0 - 5 GB</w:t>
      </w:r>
      <w:r>
        <w:rPr>
          <w:rFonts w:ascii="Times New Roman" w:hAnsi="Times New Roman" w:cs="Times New Roman"/>
          <w:sz w:val="24"/>
          <w:szCs w:val="24"/>
        </w:rPr>
        <w:t xml:space="preserve"> of data monthly, reflecting light internet usage. However, </w:t>
      </w:r>
      <w:r>
        <w:rPr>
          <w:rFonts w:ascii="Times New Roman" w:hAnsi="Times New Roman" w:cs="Times New Roman"/>
          <w:b/>
          <w:bCs/>
          <w:sz w:val="24"/>
          <w:szCs w:val="24"/>
        </w:rPr>
        <w:t>36.2%</w:t>
      </w:r>
      <w:r>
        <w:rPr>
          <w:rFonts w:ascii="Times New Roman" w:hAnsi="Times New Roman" w:cs="Times New Roman"/>
          <w:sz w:val="24"/>
          <w:szCs w:val="24"/>
        </w:rPr>
        <w:t xml:space="preserve"> fall into the </w:t>
      </w:r>
      <w:r>
        <w:rPr>
          <w:rFonts w:ascii="Times New Roman" w:hAnsi="Times New Roman" w:cs="Times New Roman"/>
          <w:b/>
          <w:bCs/>
          <w:sz w:val="24"/>
          <w:szCs w:val="24"/>
        </w:rPr>
        <w:t>6 - 15 GB</w:t>
      </w:r>
      <w:r>
        <w:rPr>
          <w:rFonts w:ascii="Times New Roman" w:hAnsi="Times New Roman" w:cs="Times New Roman"/>
          <w:sz w:val="24"/>
          <w:szCs w:val="24"/>
        </w:rPr>
        <w:t xml:space="preserve"> range, indicative of more moderate usage patterns, and only </w:t>
      </w:r>
      <w:r>
        <w:rPr>
          <w:rFonts w:ascii="Times New Roman" w:hAnsi="Times New Roman" w:cs="Times New Roman"/>
          <w:b/>
          <w:bCs/>
          <w:sz w:val="24"/>
          <w:szCs w:val="24"/>
        </w:rPr>
        <w:t>5.3%</w:t>
      </w:r>
      <w:r>
        <w:rPr>
          <w:rFonts w:ascii="Times New Roman" w:hAnsi="Times New Roman" w:cs="Times New Roman"/>
          <w:sz w:val="24"/>
          <w:szCs w:val="24"/>
        </w:rPr>
        <w:t xml:space="preserve"> consume over </w:t>
      </w:r>
      <w:r>
        <w:rPr>
          <w:rFonts w:ascii="Times New Roman" w:hAnsi="Times New Roman" w:cs="Times New Roman"/>
          <w:b/>
          <w:bCs/>
          <w:sz w:val="24"/>
          <w:szCs w:val="24"/>
        </w:rPr>
        <w:t>31 GB</w:t>
      </w:r>
      <w:r>
        <w:rPr>
          <w:rFonts w:ascii="Times New Roman" w:hAnsi="Times New Roman" w:cs="Times New Roman"/>
          <w:sz w:val="24"/>
          <w:szCs w:val="24"/>
        </w:rPr>
        <w:t xml:space="preserve"> monthly.</w:t>
      </w:r>
    </w:p>
    <w:p w14:paraId="45F8B75D">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Primary Communication Method</w:t>
      </w:r>
      <w:r>
        <w:rPr>
          <w:rFonts w:ascii="Times New Roman" w:hAnsi="Times New Roman" w:cs="Times New Roman"/>
          <w:sz w:val="24"/>
          <w:szCs w:val="24"/>
        </w:rPr>
        <w:t>: A substantial portion of respondents (</w:t>
      </w:r>
      <w:r>
        <w:rPr>
          <w:rFonts w:ascii="Times New Roman" w:hAnsi="Times New Roman" w:cs="Times New Roman"/>
          <w:b/>
          <w:bCs/>
          <w:sz w:val="24"/>
          <w:szCs w:val="24"/>
        </w:rPr>
        <w:t>46.3%</w:t>
      </w:r>
      <w:r>
        <w:rPr>
          <w:rFonts w:ascii="Times New Roman" w:hAnsi="Times New Roman" w:cs="Times New Roman"/>
          <w:sz w:val="24"/>
          <w:szCs w:val="24"/>
        </w:rPr>
        <w:t xml:space="preserve">) still prefer </w:t>
      </w:r>
      <w:r>
        <w:rPr>
          <w:rFonts w:ascii="Times New Roman" w:hAnsi="Times New Roman" w:cs="Times New Roman"/>
          <w:b/>
          <w:bCs/>
          <w:sz w:val="24"/>
          <w:szCs w:val="24"/>
        </w:rPr>
        <w:t>voice calls</w:t>
      </w:r>
      <w:r>
        <w:rPr>
          <w:rFonts w:ascii="Times New Roman" w:hAnsi="Times New Roman" w:cs="Times New Roman"/>
          <w:sz w:val="24"/>
          <w:szCs w:val="24"/>
        </w:rPr>
        <w:t xml:space="preserve">, but </w:t>
      </w:r>
      <w:r>
        <w:rPr>
          <w:rFonts w:ascii="Times New Roman" w:hAnsi="Times New Roman" w:cs="Times New Roman"/>
          <w:b/>
          <w:bCs/>
          <w:sz w:val="24"/>
          <w:szCs w:val="24"/>
        </w:rPr>
        <w:t>37.8%</w:t>
      </w:r>
      <w:r>
        <w:rPr>
          <w:rFonts w:ascii="Times New Roman" w:hAnsi="Times New Roman" w:cs="Times New Roman"/>
          <w:sz w:val="24"/>
          <w:szCs w:val="24"/>
        </w:rPr>
        <w:t xml:space="preserve"> are primarily reliant on </w:t>
      </w:r>
      <w:r>
        <w:rPr>
          <w:rFonts w:ascii="Times New Roman" w:hAnsi="Times New Roman" w:cs="Times New Roman"/>
          <w:b/>
          <w:bCs/>
          <w:sz w:val="24"/>
          <w:szCs w:val="24"/>
        </w:rPr>
        <w:t>internet/data</w:t>
      </w:r>
      <w:r>
        <w:rPr>
          <w:rFonts w:ascii="Times New Roman" w:hAnsi="Times New Roman" w:cs="Times New Roman"/>
          <w:sz w:val="24"/>
          <w:szCs w:val="24"/>
        </w:rPr>
        <w:t xml:space="preserve"> for communication, showcasing the growing importance of mobile data in Nigeria’s telecommunications sector.</w:t>
      </w:r>
    </w:p>
    <w:p w14:paraId="719F3D6E">
      <w:pPr>
        <w:pStyle w:val="5"/>
        <w:bidi w:val="0"/>
        <w:spacing w:line="360" w:lineRule="auto"/>
        <w:jc w:val="center"/>
        <w:rPr>
          <w:rFonts w:ascii="Times New Roman" w:hAnsi="Times New Roman" w:cs="Times New Roman"/>
          <w:b/>
          <w:bCs/>
          <w:szCs w:val="24"/>
        </w:rPr>
      </w:pPr>
      <w:r>
        <w:t>Table 4.</w:t>
      </w:r>
      <w:r>
        <w:rPr>
          <w:rFonts w:hint="default"/>
          <w:lang w:val="en-US"/>
        </w:rPr>
        <w:t>1.</w:t>
      </w:r>
      <w:r>
        <w:t>5 Distribution by Customer Experience</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641"/>
        <w:gridCol w:w="1827"/>
        <w:gridCol w:w="1319"/>
        <w:gridCol w:w="1683"/>
      </w:tblGrid>
      <w:tr w14:paraId="2933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05048C3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Customer Experience Variable</w:t>
            </w:r>
          </w:p>
        </w:tc>
        <w:tc>
          <w:tcPr>
            <w:tcW w:w="1797" w:type="dxa"/>
            <w:vAlign w:val="center"/>
          </w:tcPr>
          <w:p w14:paraId="1A83D92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1289" w:type="dxa"/>
            <w:vAlign w:val="center"/>
          </w:tcPr>
          <w:p w14:paraId="4F2E3F0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0" w:type="auto"/>
            <w:vAlign w:val="center"/>
          </w:tcPr>
          <w:p w14:paraId="3C33C5A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4192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38BC5BC8">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Number of Complaints Filed in the Last 6 Months</w:t>
            </w:r>
          </w:p>
        </w:tc>
        <w:tc>
          <w:tcPr>
            <w:tcW w:w="1797" w:type="dxa"/>
            <w:vAlign w:val="center"/>
          </w:tcPr>
          <w:p w14:paraId="2D19DB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289" w:type="dxa"/>
            <w:vAlign w:val="center"/>
          </w:tcPr>
          <w:p w14:paraId="540F40C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600</w:t>
            </w:r>
          </w:p>
        </w:tc>
        <w:tc>
          <w:tcPr>
            <w:tcW w:w="0" w:type="auto"/>
            <w:vAlign w:val="center"/>
          </w:tcPr>
          <w:p w14:paraId="6834830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43.4%</w:t>
            </w:r>
          </w:p>
        </w:tc>
      </w:tr>
      <w:tr w14:paraId="13CA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352EB8F8">
            <w:pPr>
              <w:spacing w:after="0" w:line="360" w:lineRule="auto"/>
              <w:jc w:val="center"/>
              <w:rPr>
                <w:rFonts w:ascii="Times New Roman" w:hAnsi="Times New Roman" w:cs="Times New Roman"/>
                <w:sz w:val="24"/>
                <w:szCs w:val="24"/>
              </w:rPr>
            </w:pPr>
          </w:p>
        </w:tc>
        <w:tc>
          <w:tcPr>
            <w:tcW w:w="1797" w:type="dxa"/>
            <w:vAlign w:val="center"/>
          </w:tcPr>
          <w:p w14:paraId="5C7ADBC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1 - 2 complaints</w:t>
            </w:r>
          </w:p>
        </w:tc>
        <w:tc>
          <w:tcPr>
            <w:tcW w:w="1289" w:type="dxa"/>
            <w:vAlign w:val="center"/>
          </w:tcPr>
          <w:p w14:paraId="704E71C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440</w:t>
            </w:r>
          </w:p>
        </w:tc>
        <w:tc>
          <w:tcPr>
            <w:tcW w:w="0" w:type="auto"/>
            <w:vAlign w:val="center"/>
          </w:tcPr>
          <w:p w14:paraId="0C6EDA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31.8%</w:t>
            </w:r>
          </w:p>
        </w:tc>
      </w:tr>
      <w:tr w14:paraId="3FA43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5F4036F3">
            <w:pPr>
              <w:spacing w:after="0" w:line="360" w:lineRule="auto"/>
              <w:jc w:val="center"/>
              <w:rPr>
                <w:rFonts w:ascii="Times New Roman" w:hAnsi="Times New Roman" w:cs="Times New Roman"/>
                <w:sz w:val="24"/>
                <w:szCs w:val="24"/>
              </w:rPr>
            </w:pPr>
          </w:p>
        </w:tc>
        <w:tc>
          <w:tcPr>
            <w:tcW w:w="1797" w:type="dxa"/>
            <w:vAlign w:val="center"/>
          </w:tcPr>
          <w:p w14:paraId="3D88F95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3 - 5 complaints</w:t>
            </w:r>
          </w:p>
        </w:tc>
        <w:tc>
          <w:tcPr>
            <w:tcW w:w="1289" w:type="dxa"/>
            <w:vAlign w:val="center"/>
          </w:tcPr>
          <w:p w14:paraId="4AD2827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200</w:t>
            </w:r>
          </w:p>
        </w:tc>
        <w:tc>
          <w:tcPr>
            <w:tcW w:w="0" w:type="auto"/>
            <w:vAlign w:val="center"/>
          </w:tcPr>
          <w:p w14:paraId="08E4768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14.5%</w:t>
            </w:r>
          </w:p>
        </w:tc>
      </w:tr>
      <w:tr w14:paraId="5ED6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1993C795">
            <w:pPr>
              <w:spacing w:after="0" w:line="360" w:lineRule="auto"/>
              <w:jc w:val="center"/>
              <w:rPr>
                <w:rFonts w:ascii="Times New Roman" w:hAnsi="Times New Roman" w:cs="Times New Roman"/>
                <w:sz w:val="24"/>
                <w:szCs w:val="24"/>
              </w:rPr>
            </w:pPr>
          </w:p>
        </w:tc>
        <w:tc>
          <w:tcPr>
            <w:tcW w:w="1797" w:type="dxa"/>
            <w:vAlign w:val="center"/>
          </w:tcPr>
          <w:p w14:paraId="555C57C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6 - 10 complaints</w:t>
            </w:r>
          </w:p>
        </w:tc>
        <w:tc>
          <w:tcPr>
            <w:tcW w:w="1289" w:type="dxa"/>
            <w:vAlign w:val="center"/>
          </w:tcPr>
          <w:p w14:paraId="52A02D0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0" w:type="auto"/>
            <w:vAlign w:val="center"/>
          </w:tcPr>
          <w:p w14:paraId="65ED620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w:t>
            </w:r>
          </w:p>
        </w:tc>
      </w:tr>
      <w:tr w14:paraId="10BA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682A28B3">
            <w:pPr>
              <w:spacing w:after="0" w:line="360" w:lineRule="auto"/>
              <w:jc w:val="center"/>
              <w:rPr>
                <w:rFonts w:ascii="Times New Roman" w:hAnsi="Times New Roman" w:cs="Times New Roman"/>
                <w:sz w:val="24"/>
                <w:szCs w:val="24"/>
              </w:rPr>
            </w:pPr>
          </w:p>
        </w:tc>
        <w:tc>
          <w:tcPr>
            <w:tcW w:w="1797" w:type="dxa"/>
            <w:vAlign w:val="center"/>
          </w:tcPr>
          <w:p w14:paraId="34684B0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 complaints</w:t>
            </w:r>
          </w:p>
        </w:tc>
        <w:tc>
          <w:tcPr>
            <w:tcW w:w="1289" w:type="dxa"/>
            <w:vAlign w:val="center"/>
          </w:tcPr>
          <w:p w14:paraId="2013D40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w:t>
            </w:r>
          </w:p>
        </w:tc>
        <w:tc>
          <w:tcPr>
            <w:tcW w:w="0" w:type="auto"/>
            <w:vAlign w:val="center"/>
          </w:tcPr>
          <w:p w14:paraId="33BA64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14:paraId="3EC9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5B65CF29">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797" w:type="dxa"/>
            <w:vAlign w:val="center"/>
          </w:tcPr>
          <w:p w14:paraId="6BC94AD5">
            <w:pPr>
              <w:spacing w:after="0" w:line="360" w:lineRule="auto"/>
              <w:jc w:val="center"/>
              <w:rPr>
                <w:rFonts w:ascii="Times New Roman" w:hAnsi="Times New Roman" w:cs="Times New Roman"/>
                <w:b/>
                <w:bCs/>
                <w:sz w:val="24"/>
                <w:szCs w:val="24"/>
              </w:rPr>
            </w:pPr>
          </w:p>
        </w:tc>
        <w:tc>
          <w:tcPr>
            <w:tcW w:w="1289" w:type="dxa"/>
            <w:vAlign w:val="center"/>
          </w:tcPr>
          <w:p w14:paraId="2448BFA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0" w:type="auto"/>
            <w:vAlign w:val="center"/>
          </w:tcPr>
          <w:p w14:paraId="15ECF6E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62D8CBAF">
      <w:pPr>
        <w:spacing w:after="0" w:line="360" w:lineRule="auto"/>
        <w:jc w:val="both"/>
        <w:rPr>
          <w:rFonts w:ascii="Times New Roman" w:hAnsi="Times New Roman" w:cs="Times New Roman"/>
          <w:sz w:val="24"/>
          <w:szCs w:val="24"/>
        </w:rPr>
      </w:pPr>
    </w:p>
    <w:p w14:paraId="320AEDE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6855EEB7">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0 Complaints</w:t>
      </w:r>
      <w:r>
        <w:rPr>
          <w:rFonts w:ascii="Times New Roman" w:hAnsi="Times New Roman" w:cs="Times New Roman"/>
          <w:sz w:val="24"/>
          <w:szCs w:val="24"/>
        </w:rPr>
        <w:t xml:space="preserve">: A significant </w:t>
      </w:r>
      <w:r>
        <w:rPr>
          <w:rFonts w:ascii="Times New Roman" w:hAnsi="Times New Roman" w:cs="Times New Roman"/>
          <w:b/>
          <w:bCs/>
          <w:sz w:val="24"/>
          <w:szCs w:val="24"/>
        </w:rPr>
        <w:t>43.4%</w:t>
      </w:r>
      <w:r>
        <w:rPr>
          <w:rFonts w:ascii="Times New Roman" w:hAnsi="Times New Roman" w:cs="Times New Roman"/>
          <w:sz w:val="24"/>
          <w:szCs w:val="24"/>
        </w:rPr>
        <w:t xml:space="preserve"> of respondents have not filed any complaints in the last 6 months, suggesting a degree of satisfaction or lack of engagement with customer service.</w:t>
      </w:r>
    </w:p>
    <w:p w14:paraId="43B3D1F9">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1 - 2 Complaints</w:t>
      </w:r>
      <w:r>
        <w:rPr>
          <w:rFonts w:ascii="Times New Roman" w:hAnsi="Times New Roman" w:cs="Times New Roman"/>
          <w:sz w:val="24"/>
          <w:szCs w:val="24"/>
        </w:rPr>
        <w:t xml:space="preserve">: </w:t>
      </w:r>
      <w:r>
        <w:rPr>
          <w:rFonts w:ascii="Times New Roman" w:hAnsi="Times New Roman" w:cs="Times New Roman"/>
          <w:b/>
          <w:bCs/>
          <w:sz w:val="24"/>
          <w:szCs w:val="24"/>
        </w:rPr>
        <w:t>31.8%</w:t>
      </w:r>
      <w:r>
        <w:rPr>
          <w:rFonts w:ascii="Times New Roman" w:hAnsi="Times New Roman" w:cs="Times New Roman"/>
          <w:sz w:val="24"/>
          <w:szCs w:val="24"/>
        </w:rPr>
        <w:t xml:space="preserve"> of customers have filed 1 to 2 complaints, indicating moderate dissatisfaction or issues that have been partially addressed.</w:t>
      </w:r>
    </w:p>
    <w:p w14:paraId="648B2215">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3 - 5 Complaints</w:t>
      </w:r>
      <w:r>
        <w:rPr>
          <w:rFonts w:ascii="Times New Roman" w:hAnsi="Times New Roman" w:cs="Times New Roman"/>
          <w:sz w:val="24"/>
          <w:szCs w:val="24"/>
        </w:rPr>
        <w:t xml:space="preserve">: </w:t>
      </w:r>
      <w:r>
        <w:rPr>
          <w:rFonts w:ascii="Times New Roman" w:hAnsi="Times New Roman" w:cs="Times New Roman"/>
          <w:b/>
          <w:bCs/>
          <w:sz w:val="24"/>
          <w:szCs w:val="24"/>
        </w:rPr>
        <w:t>14.5%</w:t>
      </w:r>
      <w:r>
        <w:rPr>
          <w:rFonts w:ascii="Times New Roman" w:hAnsi="Times New Roman" w:cs="Times New Roman"/>
          <w:sz w:val="24"/>
          <w:szCs w:val="24"/>
        </w:rPr>
        <w:t xml:space="preserve"> of respondents have reported filing 3 to 5 complaints, which may reflect more persistent service issues or higher dissatisfaction levels.</w:t>
      </w:r>
    </w:p>
    <w:p w14:paraId="48A77DA8">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6 - 10 Complaints</w:t>
      </w:r>
      <w:r>
        <w:rPr>
          <w:rFonts w:ascii="Times New Roman" w:hAnsi="Times New Roman" w:cs="Times New Roman"/>
          <w:sz w:val="24"/>
          <w:szCs w:val="24"/>
        </w:rPr>
        <w:t xml:space="preserve">: A smaller segment, </w:t>
      </w:r>
      <w:r>
        <w:rPr>
          <w:rFonts w:ascii="Times New Roman" w:hAnsi="Times New Roman" w:cs="Times New Roman"/>
          <w:b/>
          <w:bCs/>
          <w:sz w:val="24"/>
          <w:szCs w:val="24"/>
        </w:rPr>
        <w:t>7.2%</w:t>
      </w:r>
      <w:r>
        <w:rPr>
          <w:rFonts w:ascii="Times New Roman" w:hAnsi="Times New Roman" w:cs="Times New Roman"/>
          <w:sz w:val="24"/>
          <w:szCs w:val="24"/>
        </w:rPr>
        <w:t>, have filed between 6 and 10 complaints, pointing to frequent issues and potentially significant service quality concerns.</w:t>
      </w:r>
    </w:p>
    <w:p w14:paraId="5C8C83CD">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11+ Complaints</w:t>
      </w:r>
      <w:r>
        <w:rPr>
          <w:rFonts w:ascii="Times New Roman" w:hAnsi="Times New Roman" w:cs="Times New Roman"/>
          <w:sz w:val="24"/>
          <w:szCs w:val="24"/>
        </w:rPr>
        <w:t xml:space="preserve">: Only </w:t>
      </w:r>
      <w:r>
        <w:rPr>
          <w:rFonts w:ascii="Times New Roman" w:hAnsi="Times New Roman" w:cs="Times New Roman"/>
          <w:b/>
          <w:bCs/>
          <w:sz w:val="24"/>
          <w:szCs w:val="24"/>
        </w:rPr>
        <w:t>3.1%</w:t>
      </w:r>
      <w:r>
        <w:rPr>
          <w:rFonts w:ascii="Times New Roman" w:hAnsi="Times New Roman" w:cs="Times New Roman"/>
          <w:sz w:val="24"/>
          <w:szCs w:val="24"/>
        </w:rPr>
        <w:t xml:space="preserve"> of customers have filed more than 11 complaints, representing the most dissatisfied customers or those experiencing severe and recurring issues.</w:t>
      </w:r>
    </w:p>
    <w:p w14:paraId="163B0CE2">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This distribution highlights the varying levels of customer satisfaction and potential service quality problems. A substantial proportion of customers are either content or minimally dissatisfied, while a smaller yet significant percentage are highly dissatisfied, which could be a critical focus for improving customer service.</w:t>
      </w:r>
    </w:p>
    <w:p w14:paraId="7269F8E4">
      <w:pPr>
        <w:pStyle w:val="5"/>
        <w:bidi w:val="0"/>
        <w:spacing w:line="360" w:lineRule="auto"/>
        <w:jc w:val="center"/>
      </w:pPr>
      <w:r>
        <w:t>Table 4.</w:t>
      </w:r>
      <w:r>
        <w:rPr>
          <w:rFonts w:hint="default"/>
          <w:lang w:val="en-US"/>
        </w:rPr>
        <w:t>1.</w:t>
      </w:r>
      <w:r>
        <w:t>6 Nature of Complaints by Customers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592"/>
        <w:gridCol w:w="1296"/>
        <w:gridCol w:w="2455"/>
      </w:tblGrid>
      <w:tr w14:paraId="5B0B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667E24E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Nature of Complaints</w:t>
            </w:r>
          </w:p>
        </w:tc>
        <w:tc>
          <w:tcPr>
            <w:tcW w:w="1266" w:type="dxa"/>
            <w:vAlign w:val="center"/>
          </w:tcPr>
          <w:p w14:paraId="105ACFA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2410" w:type="dxa"/>
            <w:vAlign w:val="center"/>
          </w:tcPr>
          <w:p w14:paraId="06DCADF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21725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5A1B5E18">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Service Quality</w:t>
            </w:r>
          </w:p>
        </w:tc>
        <w:tc>
          <w:tcPr>
            <w:tcW w:w="1266" w:type="dxa"/>
            <w:vAlign w:val="center"/>
          </w:tcPr>
          <w:p w14:paraId="66F5AA6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499</w:t>
            </w:r>
          </w:p>
        </w:tc>
        <w:tc>
          <w:tcPr>
            <w:tcW w:w="2410" w:type="dxa"/>
            <w:vAlign w:val="center"/>
          </w:tcPr>
          <w:p w14:paraId="799698D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36.1%</w:t>
            </w:r>
          </w:p>
        </w:tc>
      </w:tr>
      <w:tr w14:paraId="6CA5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3AF87EBA">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Billing Issues</w:t>
            </w:r>
          </w:p>
        </w:tc>
        <w:tc>
          <w:tcPr>
            <w:tcW w:w="1266" w:type="dxa"/>
            <w:vAlign w:val="center"/>
          </w:tcPr>
          <w:p w14:paraId="6A227E2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360</w:t>
            </w:r>
          </w:p>
        </w:tc>
        <w:tc>
          <w:tcPr>
            <w:tcW w:w="2410" w:type="dxa"/>
            <w:vAlign w:val="center"/>
          </w:tcPr>
          <w:p w14:paraId="484DD3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3029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13DD6D35">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Network Coverage</w:t>
            </w:r>
          </w:p>
        </w:tc>
        <w:tc>
          <w:tcPr>
            <w:tcW w:w="1266" w:type="dxa"/>
            <w:vAlign w:val="center"/>
          </w:tcPr>
          <w:p w14:paraId="30B3453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241</w:t>
            </w:r>
          </w:p>
        </w:tc>
        <w:tc>
          <w:tcPr>
            <w:tcW w:w="2410" w:type="dxa"/>
            <w:vAlign w:val="center"/>
          </w:tcPr>
          <w:p w14:paraId="687373A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17.4%</w:t>
            </w:r>
          </w:p>
        </w:tc>
      </w:tr>
      <w:tr w14:paraId="39BE0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40D7DC88">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Customer Service</w:t>
            </w:r>
          </w:p>
        </w:tc>
        <w:tc>
          <w:tcPr>
            <w:tcW w:w="1266" w:type="dxa"/>
            <w:vAlign w:val="center"/>
          </w:tcPr>
          <w:p w14:paraId="3434124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160</w:t>
            </w:r>
          </w:p>
        </w:tc>
        <w:tc>
          <w:tcPr>
            <w:tcW w:w="2410" w:type="dxa"/>
            <w:vAlign w:val="center"/>
          </w:tcPr>
          <w:p w14:paraId="4CAD91C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11.6%</w:t>
            </w:r>
          </w:p>
        </w:tc>
      </w:tr>
      <w:tr w14:paraId="1DD6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4B507F0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Technical Issues</w:t>
            </w:r>
          </w:p>
        </w:tc>
        <w:tc>
          <w:tcPr>
            <w:tcW w:w="1266" w:type="dxa"/>
            <w:vAlign w:val="center"/>
          </w:tcPr>
          <w:p w14:paraId="6A2722C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80</w:t>
            </w:r>
          </w:p>
        </w:tc>
        <w:tc>
          <w:tcPr>
            <w:tcW w:w="2410" w:type="dxa"/>
            <w:vAlign w:val="center"/>
          </w:tcPr>
          <w:p w14:paraId="7A6F60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5.8%</w:t>
            </w:r>
          </w:p>
        </w:tc>
      </w:tr>
      <w:tr w14:paraId="40D3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57AEB42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Other</w:t>
            </w:r>
          </w:p>
        </w:tc>
        <w:tc>
          <w:tcPr>
            <w:tcW w:w="1266" w:type="dxa"/>
            <w:vAlign w:val="center"/>
          </w:tcPr>
          <w:p w14:paraId="644323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43</w:t>
            </w:r>
          </w:p>
        </w:tc>
        <w:tc>
          <w:tcPr>
            <w:tcW w:w="2410" w:type="dxa"/>
            <w:vAlign w:val="center"/>
          </w:tcPr>
          <w:p w14:paraId="7EB6AB3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14:paraId="1861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7F92232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266" w:type="dxa"/>
            <w:vAlign w:val="center"/>
          </w:tcPr>
          <w:p w14:paraId="245AEE5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2410" w:type="dxa"/>
            <w:vAlign w:val="center"/>
          </w:tcPr>
          <w:p w14:paraId="4F76B7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1FCD7CC1">
      <w:pPr>
        <w:spacing w:after="0" w:line="360" w:lineRule="auto"/>
        <w:jc w:val="both"/>
        <w:rPr>
          <w:rFonts w:ascii="Times New Roman" w:hAnsi="Times New Roman" w:cs="Times New Roman"/>
          <w:sz w:val="24"/>
          <w:szCs w:val="24"/>
        </w:rPr>
      </w:pPr>
    </w:p>
    <w:p w14:paraId="2937B26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8C425C2">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Service Quality</w:t>
      </w:r>
      <w:r>
        <w:rPr>
          <w:rFonts w:ascii="Times New Roman" w:hAnsi="Times New Roman" w:cs="Times New Roman"/>
          <w:sz w:val="24"/>
          <w:szCs w:val="24"/>
        </w:rPr>
        <w:t xml:space="preserve">: The most common complaint, </w:t>
      </w:r>
      <w:r>
        <w:rPr>
          <w:rFonts w:ascii="Times New Roman" w:hAnsi="Times New Roman" w:cs="Times New Roman"/>
          <w:b/>
          <w:bCs/>
          <w:sz w:val="24"/>
          <w:szCs w:val="24"/>
        </w:rPr>
        <w:t>36.1%</w:t>
      </w:r>
      <w:r>
        <w:rPr>
          <w:rFonts w:ascii="Times New Roman" w:hAnsi="Times New Roman" w:cs="Times New Roman"/>
          <w:sz w:val="24"/>
          <w:szCs w:val="24"/>
        </w:rPr>
        <w:t xml:space="preserve"> of respondents report issues related to service quality. This indicates that improving the overall service quality should be a priority for reducing churn and enhancing customer satisfaction.</w:t>
      </w:r>
    </w:p>
    <w:p w14:paraId="77E9657B">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Billing Issues</w:t>
      </w:r>
      <w:r>
        <w:rPr>
          <w:rFonts w:ascii="Times New Roman" w:hAnsi="Times New Roman" w:cs="Times New Roman"/>
          <w:sz w:val="24"/>
          <w:szCs w:val="24"/>
        </w:rPr>
        <w:t xml:space="preserve">: </w:t>
      </w:r>
      <w:r>
        <w:rPr>
          <w:rFonts w:ascii="Times New Roman" w:hAnsi="Times New Roman" w:cs="Times New Roman"/>
          <w:b/>
          <w:bCs/>
          <w:sz w:val="24"/>
          <w:szCs w:val="24"/>
        </w:rPr>
        <w:t>26.0%</w:t>
      </w:r>
      <w:r>
        <w:rPr>
          <w:rFonts w:ascii="Times New Roman" w:hAnsi="Times New Roman" w:cs="Times New Roman"/>
          <w:sz w:val="24"/>
          <w:szCs w:val="24"/>
        </w:rPr>
        <w:t xml:space="preserve"> of complaints are about billing issues, highlighting a need for better transparency and accuracy in billing practices.</w:t>
      </w:r>
    </w:p>
    <w:p w14:paraId="4FE71000">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Network Coverage</w:t>
      </w:r>
      <w:r>
        <w:rPr>
          <w:rFonts w:ascii="Times New Roman" w:hAnsi="Times New Roman" w:cs="Times New Roman"/>
          <w:sz w:val="24"/>
          <w:szCs w:val="24"/>
        </w:rPr>
        <w:t xml:space="preserve">: </w:t>
      </w:r>
      <w:r>
        <w:rPr>
          <w:rFonts w:ascii="Times New Roman" w:hAnsi="Times New Roman" w:cs="Times New Roman"/>
          <w:b/>
          <w:bCs/>
          <w:sz w:val="24"/>
          <w:szCs w:val="24"/>
        </w:rPr>
        <w:t>17.4%</w:t>
      </w:r>
      <w:r>
        <w:rPr>
          <w:rFonts w:ascii="Times New Roman" w:hAnsi="Times New Roman" w:cs="Times New Roman"/>
          <w:sz w:val="24"/>
          <w:szCs w:val="24"/>
        </w:rPr>
        <w:t xml:space="preserve"> of respondents cite network coverage as a problem. This suggests that expanding network infrastructure or improving signal strength could help retain customers.</w:t>
      </w:r>
    </w:p>
    <w:p w14:paraId="6E5DB4A0">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Customer Service</w:t>
      </w:r>
      <w:r>
        <w:rPr>
          <w:rFonts w:ascii="Times New Roman" w:hAnsi="Times New Roman" w:cs="Times New Roman"/>
          <w:sz w:val="24"/>
          <w:szCs w:val="24"/>
        </w:rPr>
        <w:t xml:space="preserve">: </w:t>
      </w:r>
      <w:r>
        <w:rPr>
          <w:rFonts w:ascii="Times New Roman" w:hAnsi="Times New Roman" w:cs="Times New Roman"/>
          <w:b/>
          <w:bCs/>
          <w:sz w:val="24"/>
          <w:szCs w:val="24"/>
        </w:rPr>
        <w:t>11.6%</w:t>
      </w:r>
      <w:r>
        <w:rPr>
          <w:rFonts w:ascii="Times New Roman" w:hAnsi="Times New Roman" w:cs="Times New Roman"/>
          <w:sz w:val="24"/>
          <w:szCs w:val="24"/>
        </w:rPr>
        <w:t xml:space="preserve"> of complaints are related to customer service, indicating that customer support interactions may need improvement.</w:t>
      </w:r>
    </w:p>
    <w:p w14:paraId="1BE75C28">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Technical Issues</w:t>
      </w:r>
      <w:r>
        <w:rPr>
          <w:rFonts w:ascii="Times New Roman" w:hAnsi="Times New Roman" w:cs="Times New Roman"/>
          <w:sz w:val="24"/>
          <w:szCs w:val="24"/>
        </w:rPr>
        <w:t xml:space="preserve">: </w:t>
      </w:r>
      <w:r>
        <w:rPr>
          <w:rFonts w:ascii="Times New Roman" w:hAnsi="Times New Roman" w:cs="Times New Roman"/>
          <w:b/>
          <w:bCs/>
          <w:sz w:val="24"/>
          <w:szCs w:val="24"/>
        </w:rPr>
        <w:t>5.8%</w:t>
      </w:r>
      <w:r>
        <w:rPr>
          <w:rFonts w:ascii="Times New Roman" w:hAnsi="Times New Roman" w:cs="Times New Roman"/>
          <w:sz w:val="24"/>
          <w:szCs w:val="24"/>
        </w:rPr>
        <w:t xml:space="preserve"> report technical issues, which might suggest that while less common, these problems still affect a significant portion of users and should be addressed.</w:t>
      </w:r>
    </w:p>
    <w:p w14:paraId="15C73217">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Other</w:t>
      </w:r>
      <w:r>
        <w:rPr>
          <w:rFonts w:ascii="Times New Roman" w:hAnsi="Times New Roman" w:cs="Times New Roman"/>
          <w:sz w:val="24"/>
          <w:szCs w:val="24"/>
        </w:rPr>
        <w:t xml:space="preserve">: </w:t>
      </w:r>
      <w:r>
        <w:rPr>
          <w:rFonts w:ascii="Times New Roman" w:hAnsi="Times New Roman" w:cs="Times New Roman"/>
          <w:b/>
          <w:bCs/>
          <w:sz w:val="24"/>
          <w:szCs w:val="24"/>
        </w:rPr>
        <w:t>3.1%</w:t>
      </w:r>
      <w:r>
        <w:rPr>
          <w:rFonts w:ascii="Times New Roman" w:hAnsi="Times New Roman" w:cs="Times New Roman"/>
          <w:sz w:val="24"/>
          <w:szCs w:val="24"/>
        </w:rPr>
        <w:t xml:space="preserve"> of complaints fall into the "Other" category, reflecting diverse issues not covered by the main categories.</w:t>
      </w:r>
    </w:p>
    <w:p w14:paraId="15D961B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distribution provides insights into the specific areas where customers face problems and helps prioritize areas for improvement to enhance overall customer satisfaction and reduce churn.</w:t>
      </w:r>
    </w:p>
    <w:p w14:paraId="4F877124">
      <w:pPr>
        <w:spacing w:after="0" w:line="360" w:lineRule="auto"/>
        <w:jc w:val="both"/>
        <w:rPr>
          <w:rFonts w:ascii="Times New Roman" w:hAnsi="Times New Roman" w:cs="Times New Roman"/>
          <w:sz w:val="24"/>
          <w:szCs w:val="24"/>
        </w:rPr>
      </w:pPr>
    </w:p>
    <w:p w14:paraId="4F8BC55F">
      <w:pPr>
        <w:pStyle w:val="5"/>
        <w:bidi w:val="0"/>
        <w:spacing w:line="360" w:lineRule="auto"/>
        <w:jc w:val="center"/>
      </w:pPr>
      <w:r>
        <w:t>Table 4.</w:t>
      </w:r>
      <w:r>
        <w:rPr>
          <w:rFonts w:hint="default"/>
          <w:lang w:val="en-US"/>
        </w:rPr>
        <w:t>1.</w:t>
      </w:r>
      <w:r>
        <w:t>7 Overall Satisfaction with Service</w:t>
      </w:r>
    </w:p>
    <w:tbl>
      <w:tblPr>
        <w:tblStyle w:val="12"/>
        <w:tblW w:w="0" w:type="auto"/>
        <w:jc w:val="center"/>
        <w:tblCellSpacing w:w="15" w:type="dxa"/>
        <w:tblBorders>
          <w:top w:val="none" w:color="auto" w:sz="0" w:space="0"/>
          <w:left w:val="none" w:color="auto" w:sz="0"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3519"/>
        <w:gridCol w:w="1364"/>
        <w:gridCol w:w="1882"/>
      </w:tblGrid>
      <w:tr w14:paraId="0F2DC9DF">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3474" w:type="dxa"/>
            <w:vAlign w:val="center"/>
          </w:tcPr>
          <w:p w14:paraId="401FA4F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Overall Satisfaction with Service</w:t>
            </w:r>
          </w:p>
        </w:tc>
        <w:tc>
          <w:tcPr>
            <w:tcW w:w="1334" w:type="dxa"/>
            <w:vAlign w:val="center"/>
          </w:tcPr>
          <w:p w14:paraId="1907FD8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37" w:type="dxa"/>
            <w:vAlign w:val="center"/>
          </w:tcPr>
          <w:p w14:paraId="6295280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16381041">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6AA6395D">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Dissatisfied</w:t>
            </w:r>
          </w:p>
        </w:tc>
        <w:tc>
          <w:tcPr>
            <w:tcW w:w="1334" w:type="dxa"/>
            <w:vAlign w:val="center"/>
          </w:tcPr>
          <w:p w14:paraId="05F39E5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837" w:type="dxa"/>
            <w:vAlign w:val="center"/>
          </w:tcPr>
          <w:p w14:paraId="6E0D7B1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w:t>
            </w:r>
          </w:p>
        </w:tc>
      </w:tr>
      <w:tr w14:paraId="3FEBA6F3">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7FD43A7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Dissatisfied</w:t>
            </w:r>
          </w:p>
        </w:tc>
        <w:tc>
          <w:tcPr>
            <w:tcW w:w="1334" w:type="dxa"/>
            <w:vAlign w:val="center"/>
          </w:tcPr>
          <w:p w14:paraId="0BD4EC6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201</w:t>
            </w:r>
          </w:p>
        </w:tc>
        <w:tc>
          <w:tcPr>
            <w:tcW w:w="1837" w:type="dxa"/>
            <w:vAlign w:val="center"/>
          </w:tcPr>
          <w:p w14:paraId="027E3CB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14.5%</w:t>
            </w:r>
          </w:p>
        </w:tc>
      </w:tr>
      <w:tr w14:paraId="12C9AE4F">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4E707EC9">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Neutral</w:t>
            </w:r>
          </w:p>
        </w:tc>
        <w:tc>
          <w:tcPr>
            <w:tcW w:w="1334" w:type="dxa"/>
            <w:vAlign w:val="center"/>
          </w:tcPr>
          <w:p w14:paraId="4CBCD2F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837" w:type="dxa"/>
            <w:vAlign w:val="center"/>
          </w:tcPr>
          <w:p w14:paraId="02F52CF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15CA9190">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5E30CC3D">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Satisfied</w:t>
            </w:r>
          </w:p>
        </w:tc>
        <w:tc>
          <w:tcPr>
            <w:tcW w:w="1334" w:type="dxa"/>
            <w:vAlign w:val="center"/>
          </w:tcPr>
          <w:p w14:paraId="1118323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498</w:t>
            </w:r>
          </w:p>
        </w:tc>
        <w:tc>
          <w:tcPr>
            <w:tcW w:w="1837" w:type="dxa"/>
            <w:vAlign w:val="center"/>
          </w:tcPr>
          <w:p w14:paraId="684AB9E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36.1%</w:t>
            </w:r>
          </w:p>
        </w:tc>
      </w:tr>
      <w:tr w14:paraId="397C0423">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173EEF19">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Satisfied</w:t>
            </w:r>
          </w:p>
        </w:tc>
        <w:tc>
          <w:tcPr>
            <w:tcW w:w="1334" w:type="dxa"/>
            <w:vAlign w:val="center"/>
          </w:tcPr>
          <w:p w14:paraId="646744E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284</w:t>
            </w:r>
          </w:p>
        </w:tc>
        <w:tc>
          <w:tcPr>
            <w:tcW w:w="1837" w:type="dxa"/>
            <w:vAlign w:val="center"/>
          </w:tcPr>
          <w:p w14:paraId="68CA71C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20.5%</w:t>
            </w:r>
          </w:p>
        </w:tc>
      </w:tr>
      <w:tr w14:paraId="25FD41D2">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65B77D9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334" w:type="dxa"/>
            <w:vAlign w:val="center"/>
          </w:tcPr>
          <w:p w14:paraId="4B590F1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837" w:type="dxa"/>
            <w:vAlign w:val="center"/>
          </w:tcPr>
          <w:p w14:paraId="32A6043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7FD2EED3">
      <w:pPr>
        <w:spacing w:after="0" w:line="360" w:lineRule="auto"/>
        <w:jc w:val="both"/>
        <w:rPr>
          <w:rFonts w:ascii="Times New Roman" w:hAnsi="Times New Roman" w:cs="Times New Roman"/>
          <w:sz w:val="24"/>
          <w:szCs w:val="24"/>
        </w:rPr>
      </w:pPr>
    </w:p>
    <w:p w14:paraId="5A21172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4283035F">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Very Dissatisfied</w:t>
      </w:r>
      <w:r>
        <w:rPr>
          <w:rFonts w:ascii="Times New Roman" w:hAnsi="Times New Roman" w:cs="Times New Roman"/>
          <w:sz w:val="24"/>
          <w:szCs w:val="24"/>
        </w:rPr>
        <w:t xml:space="preserve">: </w:t>
      </w:r>
      <w:r>
        <w:rPr>
          <w:rFonts w:ascii="Times New Roman" w:hAnsi="Times New Roman" w:cs="Times New Roman"/>
          <w:b/>
          <w:bCs/>
          <w:sz w:val="24"/>
          <w:szCs w:val="24"/>
        </w:rPr>
        <w:t>7.2%</w:t>
      </w:r>
      <w:r>
        <w:rPr>
          <w:rFonts w:ascii="Times New Roman" w:hAnsi="Times New Roman" w:cs="Times New Roman"/>
          <w:sz w:val="24"/>
          <w:szCs w:val="24"/>
        </w:rPr>
        <w:t xml:space="preserve"> of respondents are very dissatisfied with the service. This indicates a segment of customers who are extremely unhappy, which could be critical to address to prevent further churn.</w:t>
      </w:r>
    </w:p>
    <w:p w14:paraId="37252E2D">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Dissatisfied</w:t>
      </w:r>
      <w:r>
        <w:rPr>
          <w:rFonts w:ascii="Times New Roman" w:hAnsi="Times New Roman" w:cs="Times New Roman"/>
          <w:sz w:val="24"/>
          <w:szCs w:val="24"/>
        </w:rPr>
        <w:t xml:space="preserve">: </w:t>
      </w:r>
      <w:r>
        <w:rPr>
          <w:rFonts w:ascii="Times New Roman" w:hAnsi="Times New Roman" w:cs="Times New Roman"/>
          <w:b/>
          <w:bCs/>
          <w:sz w:val="24"/>
          <w:szCs w:val="24"/>
        </w:rPr>
        <w:t>14.5%</w:t>
      </w:r>
      <w:r>
        <w:rPr>
          <w:rFonts w:ascii="Times New Roman" w:hAnsi="Times New Roman" w:cs="Times New Roman"/>
          <w:sz w:val="24"/>
          <w:szCs w:val="24"/>
        </w:rPr>
        <w:t xml:space="preserve"> express dissatisfaction. Combined with the very dissatisfied group, this represents </w:t>
      </w:r>
      <w:r>
        <w:rPr>
          <w:rFonts w:ascii="Times New Roman" w:hAnsi="Times New Roman" w:cs="Times New Roman"/>
          <w:b/>
          <w:bCs/>
          <w:sz w:val="24"/>
          <w:szCs w:val="24"/>
        </w:rPr>
        <w:t>21.7%</w:t>
      </w:r>
      <w:r>
        <w:rPr>
          <w:rFonts w:ascii="Times New Roman" w:hAnsi="Times New Roman" w:cs="Times New Roman"/>
          <w:sz w:val="24"/>
          <w:szCs w:val="24"/>
        </w:rPr>
        <w:t xml:space="preserve"> of customers who are not pleased with their service, signaling a need for substantial improvements.</w:t>
      </w:r>
    </w:p>
    <w:p w14:paraId="286945F2">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Neutral</w:t>
      </w:r>
      <w:r>
        <w:rPr>
          <w:rFonts w:ascii="Times New Roman" w:hAnsi="Times New Roman" w:cs="Times New Roman"/>
          <w:sz w:val="24"/>
          <w:szCs w:val="24"/>
        </w:rPr>
        <w:t xml:space="preserve">: </w:t>
      </w:r>
      <w:r>
        <w:rPr>
          <w:rFonts w:ascii="Times New Roman" w:hAnsi="Times New Roman" w:cs="Times New Roman"/>
          <w:b/>
          <w:bCs/>
          <w:sz w:val="24"/>
          <w:szCs w:val="24"/>
        </w:rPr>
        <w:t>21.7%</w:t>
      </w:r>
      <w:r>
        <w:rPr>
          <w:rFonts w:ascii="Times New Roman" w:hAnsi="Times New Roman" w:cs="Times New Roman"/>
          <w:sz w:val="24"/>
          <w:szCs w:val="24"/>
        </w:rPr>
        <w:t xml:space="preserve"> are neutral, suggesting these customers neither strongly like nor dislike the service. This group might be more susceptible to switching if competitors offer better services.</w:t>
      </w:r>
    </w:p>
    <w:p w14:paraId="69AD2755">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Satisfied</w:t>
      </w:r>
      <w:r>
        <w:rPr>
          <w:rFonts w:ascii="Times New Roman" w:hAnsi="Times New Roman" w:cs="Times New Roman"/>
          <w:sz w:val="24"/>
          <w:szCs w:val="24"/>
        </w:rPr>
        <w:t xml:space="preserve">: </w:t>
      </w:r>
      <w:r>
        <w:rPr>
          <w:rFonts w:ascii="Times New Roman" w:hAnsi="Times New Roman" w:cs="Times New Roman"/>
          <w:b/>
          <w:bCs/>
          <w:sz w:val="24"/>
          <w:szCs w:val="24"/>
        </w:rPr>
        <w:t>36.1%</w:t>
      </w:r>
      <w:r>
        <w:rPr>
          <w:rFonts w:ascii="Times New Roman" w:hAnsi="Times New Roman" w:cs="Times New Roman"/>
          <w:sz w:val="24"/>
          <w:szCs w:val="24"/>
        </w:rPr>
        <w:t xml:space="preserve"> are satisfied, showing that a significant portion of customers have a positive view of their service, which is promising for customer retention.</w:t>
      </w:r>
    </w:p>
    <w:p w14:paraId="32CAE097">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Very Satisfied</w:t>
      </w:r>
      <w:r>
        <w:rPr>
          <w:rFonts w:ascii="Times New Roman" w:hAnsi="Times New Roman" w:cs="Times New Roman"/>
          <w:sz w:val="24"/>
          <w:szCs w:val="24"/>
        </w:rPr>
        <w:t xml:space="preserve">: </w:t>
      </w:r>
      <w:r>
        <w:rPr>
          <w:rFonts w:ascii="Times New Roman" w:hAnsi="Times New Roman" w:cs="Times New Roman"/>
          <w:b/>
          <w:bCs/>
          <w:sz w:val="24"/>
          <w:szCs w:val="24"/>
        </w:rPr>
        <w:t>20.5%</w:t>
      </w:r>
      <w:r>
        <w:rPr>
          <w:rFonts w:ascii="Times New Roman" w:hAnsi="Times New Roman" w:cs="Times New Roman"/>
          <w:sz w:val="24"/>
          <w:szCs w:val="24"/>
        </w:rPr>
        <w:t xml:space="preserve"> are very satisfied, reflecting a strong segment of loyal customers who are likely to remain with the provider and may even advocate for the service.</w:t>
      </w:r>
    </w:p>
    <w:p w14:paraId="2C16CC3C">
      <w:pPr>
        <w:pStyle w:val="5"/>
        <w:bidi w:val="0"/>
        <w:spacing w:line="360" w:lineRule="auto"/>
        <w:jc w:val="center"/>
      </w:pPr>
      <w:r>
        <w:t>Table 4.</w:t>
      </w:r>
      <w:r>
        <w:rPr>
          <w:rFonts w:hint="default"/>
          <w:lang w:val="en-US"/>
        </w:rPr>
        <w:t>1.</w:t>
      </w:r>
      <w:r>
        <w:t>8</w:t>
      </w:r>
      <w:r>
        <w:rPr>
          <w:rFonts w:hint="default"/>
          <w:lang w:val="en-US"/>
        </w:rPr>
        <w:t xml:space="preserve"> </w:t>
      </w:r>
      <w:r>
        <w:t>Likelihood of Switching Providers in the Next 6 Months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465"/>
        <w:gridCol w:w="1331"/>
        <w:gridCol w:w="1868"/>
      </w:tblGrid>
      <w:tr w14:paraId="30F82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5420" w:type="dxa"/>
            <w:vAlign w:val="center"/>
          </w:tcPr>
          <w:p w14:paraId="01A5E94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Likelihood of Switching Providers in the Next 6 Months</w:t>
            </w:r>
          </w:p>
        </w:tc>
        <w:tc>
          <w:tcPr>
            <w:tcW w:w="1301" w:type="dxa"/>
            <w:vAlign w:val="center"/>
          </w:tcPr>
          <w:p w14:paraId="54F3D7B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23" w:type="dxa"/>
            <w:vAlign w:val="center"/>
          </w:tcPr>
          <w:p w14:paraId="29A819F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1EE9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3ABA7F10">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Unlikely</w:t>
            </w:r>
          </w:p>
        </w:tc>
        <w:tc>
          <w:tcPr>
            <w:tcW w:w="1301" w:type="dxa"/>
            <w:vAlign w:val="center"/>
          </w:tcPr>
          <w:p w14:paraId="1FA96F1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240</w:t>
            </w:r>
          </w:p>
        </w:tc>
        <w:tc>
          <w:tcPr>
            <w:tcW w:w="1823" w:type="dxa"/>
            <w:vAlign w:val="center"/>
          </w:tcPr>
          <w:p w14:paraId="42179CD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17.3%</w:t>
            </w:r>
          </w:p>
        </w:tc>
      </w:tr>
      <w:tr w14:paraId="07BC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10AFA286">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Unlikely</w:t>
            </w:r>
          </w:p>
        </w:tc>
        <w:tc>
          <w:tcPr>
            <w:tcW w:w="1301" w:type="dxa"/>
            <w:vAlign w:val="center"/>
          </w:tcPr>
          <w:p w14:paraId="3CFAB14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823" w:type="dxa"/>
            <w:vAlign w:val="center"/>
          </w:tcPr>
          <w:p w14:paraId="7870501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0487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76F0EF69">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Neutral</w:t>
            </w:r>
          </w:p>
        </w:tc>
        <w:tc>
          <w:tcPr>
            <w:tcW w:w="1301" w:type="dxa"/>
            <w:vAlign w:val="center"/>
          </w:tcPr>
          <w:p w14:paraId="141D99C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240</w:t>
            </w:r>
          </w:p>
        </w:tc>
        <w:tc>
          <w:tcPr>
            <w:tcW w:w="1823" w:type="dxa"/>
            <w:vAlign w:val="center"/>
          </w:tcPr>
          <w:p w14:paraId="4EA0A92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17.3%</w:t>
            </w:r>
          </w:p>
        </w:tc>
      </w:tr>
      <w:tr w14:paraId="717C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4C15F04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Likely</w:t>
            </w:r>
          </w:p>
        </w:tc>
        <w:tc>
          <w:tcPr>
            <w:tcW w:w="1301" w:type="dxa"/>
            <w:vAlign w:val="center"/>
          </w:tcPr>
          <w:p w14:paraId="00B0B60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361</w:t>
            </w:r>
          </w:p>
        </w:tc>
        <w:tc>
          <w:tcPr>
            <w:tcW w:w="1823" w:type="dxa"/>
            <w:vAlign w:val="center"/>
          </w:tcPr>
          <w:p w14:paraId="1645092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57F1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44C5D6D4">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Likely</w:t>
            </w:r>
          </w:p>
        </w:tc>
        <w:tc>
          <w:tcPr>
            <w:tcW w:w="1301" w:type="dxa"/>
            <w:vAlign w:val="center"/>
          </w:tcPr>
          <w:p w14:paraId="74CF5F6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242</w:t>
            </w:r>
          </w:p>
        </w:tc>
        <w:tc>
          <w:tcPr>
            <w:tcW w:w="1823" w:type="dxa"/>
            <w:vAlign w:val="center"/>
          </w:tcPr>
          <w:p w14:paraId="528BCA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17.5%</w:t>
            </w:r>
          </w:p>
        </w:tc>
      </w:tr>
      <w:tr w14:paraId="2A0D8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5B68CAC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301" w:type="dxa"/>
            <w:vAlign w:val="center"/>
          </w:tcPr>
          <w:p w14:paraId="5E37D50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823" w:type="dxa"/>
            <w:vAlign w:val="center"/>
          </w:tcPr>
          <w:p w14:paraId="1EF4A29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652F57C1">
      <w:pPr>
        <w:spacing w:after="0" w:line="360" w:lineRule="auto"/>
        <w:jc w:val="both"/>
        <w:rPr>
          <w:rFonts w:ascii="Times New Roman" w:hAnsi="Times New Roman" w:cs="Times New Roman"/>
          <w:sz w:val="24"/>
          <w:szCs w:val="24"/>
        </w:rPr>
      </w:pPr>
    </w:p>
    <w:p w14:paraId="6446774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7E5ADBC5">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Very Unlikely</w:t>
      </w:r>
      <w:r>
        <w:rPr>
          <w:rFonts w:ascii="Times New Roman" w:hAnsi="Times New Roman" w:cs="Times New Roman"/>
          <w:sz w:val="24"/>
          <w:szCs w:val="24"/>
        </w:rPr>
        <w:t xml:space="preserve">: </w:t>
      </w:r>
      <w:r>
        <w:rPr>
          <w:rFonts w:ascii="Times New Roman" w:hAnsi="Times New Roman" w:cs="Times New Roman"/>
          <w:b/>
          <w:bCs/>
          <w:sz w:val="24"/>
          <w:szCs w:val="24"/>
        </w:rPr>
        <w:t>17.3%</w:t>
      </w:r>
      <w:r>
        <w:rPr>
          <w:rFonts w:ascii="Times New Roman" w:hAnsi="Times New Roman" w:cs="Times New Roman"/>
          <w:sz w:val="24"/>
          <w:szCs w:val="24"/>
        </w:rPr>
        <w:t xml:space="preserve"> of respondents feel very unlikely to switch providers, indicating a stable segment of customers who are satisfied or have strong brand loyalty.</w:t>
      </w:r>
    </w:p>
    <w:p w14:paraId="7EAE13DE">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Unlikely</w:t>
      </w:r>
      <w:r>
        <w:rPr>
          <w:rFonts w:ascii="Times New Roman" w:hAnsi="Times New Roman" w:cs="Times New Roman"/>
          <w:sz w:val="24"/>
          <w:szCs w:val="24"/>
        </w:rPr>
        <w:t xml:space="preserve">: </w:t>
      </w:r>
      <w:r>
        <w:rPr>
          <w:rFonts w:ascii="Times New Roman" w:hAnsi="Times New Roman" w:cs="Times New Roman"/>
          <w:b/>
          <w:bCs/>
          <w:sz w:val="24"/>
          <w:szCs w:val="24"/>
        </w:rPr>
        <w:t>21.7%</w:t>
      </w:r>
      <w:r>
        <w:rPr>
          <w:rFonts w:ascii="Times New Roman" w:hAnsi="Times New Roman" w:cs="Times New Roman"/>
          <w:sz w:val="24"/>
          <w:szCs w:val="24"/>
        </w:rPr>
        <w:t xml:space="preserve"> are unlikely to switch, further supporting the notion that a substantial portion of customers are relatively stable, though not as committed as the very unlikely group.</w:t>
      </w:r>
    </w:p>
    <w:p w14:paraId="773D1CDD">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Neutral</w:t>
      </w:r>
      <w:r>
        <w:rPr>
          <w:rFonts w:ascii="Times New Roman" w:hAnsi="Times New Roman" w:cs="Times New Roman"/>
          <w:sz w:val="24"/>
          <w:szCs w:val="24"/>
        </w:rPr>
        <w:t xml:space="preserve">: </w:t>
      </w:r>
      <w:r>
        <w:rPr>
          <w:rFonts w:ascii="Times New Roman" w:hAnsi="Times New Roman" w:cs="Times New Roman"/>
          <w:b/>
          <w:bCs/>
          <w:sz w:val="24"/>
          <w:szCs w:val="24"/>
        </w:rPr>
        <w:t>17.3%</w:t>
      </w:r>
      <w:r>
        <w:rPr>
          <w:rFonts w:ascii="Times New Roman" w:hAnsi="Times New Roman" w:cs="Times New Roman"/>
          <w:sz w:val="24"/>
          <w:szCs w:val="24"/>
        </w:rPr>
        <w:t xml:space="preserve"> are neutral regarding their likelihood of switching. This indicates a group that may be open to change depending on future experiences or promotions.</w:t>
      </w:r>
    </w:p>
    <w:p w14:paraId="7E8935CE">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Likely</w:t>
      </w:r>
      <w:r>
        <w:rPr>
          <w:rFonts w:ascii="Times New Roman" w:hAnsi="Times New Roman" w:cs="Times New Roman"/>
          <w:sz w:val="24"/>
          <w:szCs w:val="24"/>
        </w:rPr>
        <w:t xml:space="preserve">: </w:t>
      </w:r>
      <w:r>
        <w:rPr>
          <w:rFonts w:ascii="Times New Roman" w:hAnsi="Times New Roman" w:cs="Times New Roman"/>
          <w:b/>
          <w:bCs/>
          <w:sz w:val="24"/>
          <w:szCs w:val="24"/>
        </w:rPr>
        <w:t>26.0%</w:t>
      </w:r>
      <w:r>
        <w:rPr>
          <w:rFonts w:ascii="Times New Roman" w:hAnsi="Times New Roman" w:cs="Times New Roman"/>
          <w:sz w:val="24"/>
          <w:szCs w:val="24"/>
        </w:rPr>
        <w:t xml:space="preserve"> are likely to switch providers, highlighting a significant portion of the customer base that could be at risk of churn. This group could be influenced by competitive offers or dissatisfaction with current services.</w:t>
      </w:r>
    </w:p>
    <w:p w14:paraId="2BFA0824">
      <w:pPr>
        <w:numPr>
          <w:ilvl w:val="0"/>
          <w:numId w:val="17"/>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Very Likely</w:t>
      </w:r>
      <w:r>
        <w:rPr>
          <w:rFonts w:ascii="Times New Roman" w:hAnsi="Times New Roman" w:cs="Times New Roman"/>
          <w:sz w:val="24"/>
          <w:szCs w:val="24"/>
        </w:rPr>
        <w:t xml:space="preserve">: </w:t>
      </w:r>
      <w:r>
        <w:rPr>
          <w:rFonts w:ascii="Times New Roman" w:hAnsi="Times New Roman" w:cs="Times New Roman"/>
          <w:b/>
          <w:bCs/>
          <w:sz w:val="24"/>
          <w:szCs w:val="24"/>
        </w:rPr>
        <w:t>17.5%</w:t>
      </w:r>
      <w:r>
        <w:rPr>
          <w:rFonts w:ascii="Times New Roman" w:hAnsi="Times New Roman" w:cs="Times New Roman"/>
          <w:sz w:val="24"/>
          <w:szCs w:val="24"/>
        </w:rPr>
        <w:t xml:space="preserve"> are very likely to switch, representing a critical group for churn prevention strategies. Addressing their concerns or offering incentives could be essential to reducing potential loss.</w:t>
      </w:r>
      <w:bookmarkStart w:id="49" w:name="_Hlk184218875"/>
    </w:p>
    <w:p w14:paraId="321729EA">
      <w:pPr>
        <w:pStyle w:val="5"/>
        <w:bidi w:val="0"/>
        <w:spacing w:line="360" w:lineRule="auto"/>
        <w:jc w:val="center"/>
      </w:pPr>
      <w:r>
        <w:t>Table 4.</w:t>
      </w:r>
      <w:r>
        <w:rPr>
          <w:rFonts w:hint="default"/>
          <w:lang w:val="en-US"/>
        </w:rPr>
        <w:t>1.</w:t>
      </w:r>
      <w:r>
        <w:t>9 Factors Influencing Likelihood to Switch Providers</w:t>
      </w:r>
    </w:p>
    <w:bookmarkEnd w:id="49"/>
    <w:tbl>
      <w:tblPr>
        <w:tblStyle w:val="12"/>
        <w:tblW w:w="0" w:type="auto"/>
        <w:jc w:val="center"/>
        <w:tblCellSpacing w:w="15"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5056"/>
        <w:gridCol w:w="1275"/>
        <w:gridCol w:w="1853"/>
      </w:tblGrid>
      <w:tr w14:paraId="39E5485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5011" w:type="dxa"/>
            <w:vAlign w:val="center"/>
          </w:tcPr>
          <w:p w14:paraId="3DAFD1D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Factors Influencing Likelihood to Switch Providers</w:t>
            </w:r>
          </w:p>
        </w:tc>
        <w:tc>
          <w:tcPr>
            <w:tcW w:w="1245" w:type="dxa"/>
            <w:vAlign w:val="center"/>
          </w:tcPr>
          <w:p w14:paraId="1D13260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08" w:type="dxa"/>
            <w:vAlign w:val="center"/>
          </w:tcPr>
          <w:p w14:paraId="02A61E4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01186A9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2C1404D3">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Service Quality</w:t>
            </w:r>
          </w:p>
        </w:tc>
        <w:tc>
          <w:tcPr>
            <w:tcW w:w="1245" w:type="dxa"/>
            <w:vAlign w:val="center"/>
          </w:tcPr>
          <w:p w14:paraId="1709E26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899</w:t>
            </w:r>
          </w:p>
        </w:tc>
        <w:tc>
          <w:tcPr>
            <w:tcW w:w="1808" w:type="dxa"/>
            <w:vAlign w:val="center"/>
          </w:tcPr>
          <w:p w14:paraId="713E60E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65.0%</w:t>
            </w:r>
          </w:p>
        </w:tc>
      </w:tr>
      <w:tr w14:paraId="61C808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20BCFED7">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Cost</w:t>
            </w:r>
          </w:p>
        </w:tc>
        <w:tc>
          <w:tcPr>
            <w:tcW w:w="1245" w:type="dxa"/>
            <w:vAlign w:val="center"/>
          </w:tcPr>
          <w:p w14:paraId="0D89407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1037</w:t>
            </w:r>
          </w:p>
        </w:tc>
        <w:tc>
          <w:tcPr>
            <w:tcW w:w="1808" w:type="dxa"/>
            <w:vAlign w:val="center"/>
          </w:tcPr>
          <w:p w14:paraId="657C049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75.0%</w:t>
            </w:r>
          </w:p>
        </w:tc>
      </w:tr>
      <w:tr w14:paraId="49B744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51F1720A">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Offers and Promotions</w:t>
            </w:r>
          </w:p>
        </w:tc>
        <w:tc>
          <w:tcPr>
            <w:tcW w:w="1245" w:type="dxa"/>
            <w:vAlign w:val="center"/>
          </w:tcPr>
          <w:p w14:paraId="36B0CDF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759</w:t>
            </w:r>
          </w:p>
        </w:tc>
        <w:tc>
          <w:tcPr>
            <w:tcW w:w="1808" w:type="dxa"/>
            <w:vAlign w:val="center"/>
          </w:tcPr>
          <w:p w14:paraId="37DA38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54.9%</w:t>
            </w:r>
          </w:p>
        </w:tc>
      </w:tr>
      <w:tr w14:paraId="6B1E84A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16CE715B">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Customer Service</w:t>
            </w:r>
          </w:p>
        </w:tc>
        <w:tc>
          <w:tcPr>
            <w:tcW w:w="1245" w:type="dxa"/>
            <w:vAlign w:val="center"/>
          </w:tcPr>
          <w:p w14:paraId="08DF5B2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798</w:t>
            </w:r>
          </w:p>
        </w:tc>
        <w:tc>
          <w:tcPr>
            <w:tcW w:w="1808" w:type="dxa"/>
            <w:vAlign w:val="center"/>
          </w:tcPr>
          <w:p w14:paraId="7BB85EE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57.7%</w:t>
            </w:r>
          </w:p>
        </w:tc>
      </w:tr>
      <w:tr w14:paraId="052EB96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0CD51EA5">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Network Coverage</w:t>
            </w:r>
          </w:p>
        </w:tc>
        <w:tc>
          <w:tcPr>
            <w:tcW w:w="1245" w:type="dxa"/>
            <w:vAlign w:val="center"/>
          </w:tcPr>
          <w:p w14:paraId="670557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660</w:t>
            </w:r>
          </w:p>
        </w:tc>
        <w:tc>
          <w:tcPr>
            <w:tcW w:w="1808" w:type="dxa"/>
            <w:vAlign w:val="center"/>
          </w:tcPr>
          <w:p w14:paraId="52EDBB1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47.7%</w:t>
            </w:r>
          </w:p>
        </w:tc>
      </w:tr>
      <w:tr w14:paraId="33C685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6C8C1ED3">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Ease of Switching</w:t>
            </w:r>
          </w:p>
        </w:tc>
        <w:tc>
          <w:tcPr>
            <w:tcW w:w="1245" w:type="dxa"/>
            <w:vAlign w:val="center"/>
          </w:tcPr>
          <w:p w14:paraId="5687868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1808" w:type="dxa"/>
            <w:vAlign w:val="center"/>
          </w:tcPr>
          <w:p w14:paraId="283FD47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20F6B80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61F43A3A">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Other</w:t>
            </w:r>
          </w:p>
        </w:tc>
        <w:tc>
          <w:tcPr>
            <w:tcW w:w="1245" w:type="dxa"/>
            <w:vAlign w:val="center"/>
          </w:tcPr>
          <w:p w14:paraId="716AB4C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40</w:t>
            </w:r>
          </w:p>
        </w:tc>
        <w:tc>
          <w:tcPr>
            <w:tcW w:w="1808" w:type="dxa"/>
            <w:vAlign w:val="center"/>
          </w:tcPr>
          <w:p w14:paraId="25A75F1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2.9%</w:t>
            </w:r>
          </w:p>
        </w:tc>
      </w:tr>
    </w:tbl>
    <w:p w14:paraId="33FE24B5">
      <w:pPr>
        <w:spacing w:after="0" w:line="360" w:lineRule="auto"/>
        <w:jc w:val="both"/>
        <w:rPr>
          <w:rFonts w:ascii="Times New Roman" w:hAnsi="Times New Roman" w:cs="Times New Roman"/>
          <w:sz w:val="24"/>
          <w:szCs w:val="24"/>
        </w:rPr>
      </w:pPr>
    </w:p>
    <w:p w14:paraId="37D2F08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this type of multi-response question, respondents can indicate more than one factor, so the totals across factors can exceed the overall number of respondents.</w:t>
      </w:r>
    </w:p>
    <w:p w14:paraId="51F726CD">
      <w:pPr>
        <w:spacing w:after="0" w:line="360" w:lineRule="auto"/>
        <w:jc w:val="both"/>
        <w:rPr>
          <w:rFonts w:ascii="Times New Roman" w:hAnsi="Times New Roman" w:cs="Times New Roman"/>
          <w:b/>
          <w:bCs/>
          <w:sz w:val="24"/>
          <w:szCs w:val="24"/>
        </w:rPr>
      </w:pPr>
    </w:p>
    <w:p w14:paraId="5EE0FFB8">
      <w:pPr>
        <w:spacing w:after="0" w:line="360" w:lineRule="auto"/>
        <w:jc w:val="both"/>
        <w:rPr>
          <w:rFonts w:ascii="Times New Roman" w:hAnsi="Times New Roman" w:cs="Times New Roman"/>
          <w:b/>
          <w:bCs/>
          <w:sz w:val="24"/>
          <w:szCs w:val="24"/>
        </w:rPr>
      </w:pPr>
    </w:p>
    <w:p w14:paraId="1D06E562">
      <w:pPr>
        <w:spacing w:after="0" w:line="360" w:lineRule="auto"/>
        <w:jc w:val="both"/>
        <w:rPr>
          <w:rFonts w:ascii="Times New Roman" w:hAnsi="Times New Roman" w:cs="Times New Roman"/>
          <w:b/>
          <w:bCs/>
          <w:sz w:val="24"/>
          <w:szCs w:val="24"/>
        </w:rPr>
      </w:pPr>
    </w:p>
    <w:p w14:paraId="7EB5E9A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7542F3A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Service Quality</w:t>
      </w:r>
      <w:r>
        <w:rPr>
          <w:rFonts w:ascii="Times New Roman" w:hAnsi="Times New Roman" w:cs="Times New Roman"/>
          <w:sz w:val="24"/>
          <w:szCs w:val="24"/>
        </w:rPr>
        <w:t xml:space="preserve">: </w:t>
      </w:r>
      <w:r>
        <w:rPr>
          <w:rFonts w:ascii="Times New Roman" w:hAnsi="Times New Roman" w:cs="Times New Roman"/>
          <w:b/>
          <w:bCs/>
          <w:sz w:val="24"/>
          <w:szCs w:val="24"/>
        </w:rPr>
        <w:t>65.0%</w:t>
      </w:r>
      <w:r>
        <w:rPr>
          <w:rFonts w:ascii="Times New Roman" w:hAnsi="Times New Roman" w:cs="Times New Roman"/>
          <w:sz w:val="24"/>
          <w:szCs w:val="24"/>
        </w:rPr>
        <w:t xml:space="preserve"> of respondents indicated that service quality influences their likelihood to switch providers. This suggests that a significant number of customers prioritize high-quality service, and improvements in this area could reduce churn.</w:t>
      </w:r>
    </w:p>
    <w:p w14:paraId="2489B0E6">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Cost</w:t>
      </w:r>
      <w:r>
        <w:rPr>
          <w:rFonts w:ascii="Times New Roman" w:hAnsi="Times New Roman" w:cs="Times New Roman"/>
          <w:sz w:val="24"/>
          <w:szCs w:val="24"/>
        </w:rPr>
        <w:t xml:space="preserve">: </w:t>
      </w:r>
      <w:r>
        <w:rPr>
          <w:rFonts w:ascii="Times New Roman" w:hAnsi="Times New Roman" w:cs="Times New Roman"/>
          <w:b/>
          <w:bCs/>
          <w:sz w:val="24"/>
          <w:szCs w:val="24"/>
        </w:rPr>
        <w:t>75.0%</w:t>
      </w:r>
      <w:r>
        <w:rPr>
          <w:rFonts w:ascii="Times New Roman" w:hAnsi="Times New Roman" w:cs="Times New Roman"/>
          <w:sz w:val="24"/>
          <w:szCs w:val="24"/>
        </w:rPr>
        <w:t xml:space="preserve"> of respondents are influenced by cost. This is the highest factor influencing customer decisions, indicating that pricing strategies and competitive offers are crucial for retaining customers.</w:t>
      </w:r>
    </w:p>
    <w:p w14:paraId="5154249F">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Offers and Promotions</w:t>
      </w:r>
      <w:r>
        <w:rPr>
          <w:rFonts w:ascii="Times New Roman" w:hAnsi="Times New Roman" w:cs="Times New Roman"/>
          <w:sz w:val="24"/>
          <w:szCs w:val="24"/>
        </w:rPr>
        <w:t xml:space="preserve">: </w:t>
      </w:r>
      <w:r>
        <w:rPr>
          <w:rFonts w:ascii="Times New Roman" w:hAnsi="Times New Roman" w:cs="Times New Roman"/>
          <w:b/>
          <w:bCs/>
          <w:sz w:val="24"/>
          <w:szCs w:val="24"/>
        </w:rPr>
        <w:t>54.9%</w:t>
      </w:r>
      <w:r>
        <w:rPr>
          <w:rFonts w:ascii="Times New Roman" w:hAnsi="Times New Roman" w:cs="Times New Roman"/>
          <w:sz w:val="24"/>
          <w:szCs w:val="24"/>
        </w:rPr>
        <w:t xml:space="preserve"> of respondents consider offers and promotions a key factor. Providing attractive deals and incentives can help in retaining customers and attracting those considering switching.</w:t>
      </w:r>
    </w:p>
    <w:p w14:paraId="240DC307">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Customer Service</w:t>
      </w:r>
      <w:r>
        <w:rPr>
          <w:rFonts w:ascii="Times New Roman" w:hAnsi="Times New Roman" w:cs="Times New Roman"/>
          <w:sz w:val="24"/>
          <w:szCs w:val="24"/>
        </w:rPr>
        <w:t xml:space="preserve">: </w:t>
      </w:r>
      <w:r>
        <w:rPr>
          <w:rFonts w:ascii="Times New Roman" w:hAnsi="Times New Roman" w:cs="Times New Roman"/>
          <w:b/>
          <w:bCs/>
          <w:sz w:val="24"/>
          <w:szCs w:val="24"/>
        </w:rPr>
        <w:t>57.7%</w:t>
      </w:r>
      <w:r>
        <w:rPr>
          <w:rFonts w:ascii="Times New Roman" w:hAnsi="Times New Roman" w:cs="Times New Roman"/>
          <w:sz w:val="24"/>
          <w:szCs w:val="24"/>
        </w:rPr>
        <w:t xml:space="preserve"> of respondents are influenced by customer service. This underscores the importance of responsive and effective customer support in reducing churn.</w:t>
      </w:r>
    </w:p>
    <w:p w14:paraId="3EFFA029">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Network Coverage</w:t>
      </w:r>
      <w:r>
        <w:rPr>
          <w:rFonts w:ascii="Times New Roman" w:hAnsi="Times New Roman" w:cs="Times New Roman"/>
          <w:sz w:val="24"/>
          <w:szCs w:val="24"/>
        </w:rPr>
        <w:t xml:space="preserve">: </w:t>
      </w:r>
      <w:r>
        <w:rPr>
          <w:rFonts w:ascii="Times New Roman" w:hAnsi="Times New Roman" w:cs="Times New Roman"/>
          <w:b/>
          <w:bCs/>
          <w:sz w:val="24"/>
          <w:szCs w:val="24"/>
        </w:rPr>
        <w:t>47.7%</w:t>
      </w:r>
      <w:r>
        <w:rPr>
          <w:rFonts w:ascii="Times New Roman" w:hAnsi="Times New Roman" w:cs="Times New Roman"/>
          <w:sz w:val="24"/>
          <w:szCs w:val="24"/>
        </w:rPr>
        <w:t xml:space="preserve"> view network coverage as a factor. Ensuring comprehensive coverage and minimizing connectivity issues can help retain customers.</w:t>
      </w:r>
    </w:p>
    <w:p w14:paraId="6FB01CB5">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Ease of Switching</w:t>
      </w:r>
      <w:r>
        <w:rPr>
          <w:rFonts w:ascii="Times New Roman" w:hAnsi="Times New Roman" w:cs="Times New Roman"/>
          <w:sz w:val="24"/>
          <w:szCs w:val="24"/>
        </w:rPr>
        <w:t xml:space="preserve">: </w:t>
      </w:r>
      <w:r>
        <w:rPr>
          <w:rFonts w:ascii="Times New Roman" w:hAnsi="Times New Roman" w:cs="Times New Roman"/>
          <w:b/>
          <w:bCs/>
          <w:sz w:val="24"/>
          <w:szCs w:val="24"/>
        </w:rPr>
        <w:t>30.4%</w:t>
      </w:r>
      <w:r>
        <w:rPr>
          <w:rFonts w:ascii="Times New Roman" w:hAnsi="Times New Roman" w:cs="Times New Roman"/>
          <w:sz w:val="24"/>
          <w:szCs w:val="24"/>
        </w:rPr>
        <w:t xml:space="preserve"> of respondents find the ease of switching important. Making the switching process simple and hassle-free can either encourage customers to move or, if managed well, reduce the likelihood of them leaving.</w:t>
      </w:r>
    </w:p>
    <w:p w14:paraId="524A4776">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Other</w:t>
      </w:r>
      <w:r>
        <w:rPr>
          <w:rFonts w:ascii="Times New Roman" w:hAnsi="Times New Roman" w:cs="Times New Roman"/>
          <w:sz w:val="24"/>
          <w:szCs w:val="24"/>
        </w:rPr>
        <w:t xml:space="preserve">: </w:t>
      </w:r>
      <w:r>
        <w:rPr>
          <w:rFonts w:ascii="Times New Roman" w:hAnsi="Times New Roman" w:cs="Times New Roman"/>
          <w:b/>
          <w:bCs/>
          <w:sz w:val="24"/>
          <w:szCs w:val="24"/>
        </w:rPr>
        <w:t>2.9%</w:t>
      </w:r>
      <w:r>
        <w:rPr>
          <w:rFonts w:ascii="Times New Roman" w:hAnsi="Times New Roman" w:cs="Times New Roman"/>
          <w:sz w:val="24"/>
          <w:szCs w:val="24"/>
        </w:rPr>
        <w:t xml:space="preserve"> of respondents selected other factors not listed. This indicates a small segment of unique concerns that may require further investigation to fully understand their impact.</w:t>
      </w:r>
    </w:p>
    <w:p w14:paraId="06A44F84">
      <w:pPr>
        <w:spacing w:after="0" w:line="360" w:lineRule="auto"/>
        <w:jc w:val="both"/>
        <w:rPr>
          <w:rFonts w:ascii="Times New Roman" w:hAnsi="Times New Roman" w:cs="Times New Roman"/>
          <w:b/>
          <w:bCs/>
          <w:sz w:val="24"/>
          <w:szCs w:val="24"/>
        </w:rPr>
      </w:pPr>
    </w:p>
    <w:p w14:paraId="6F412E2A">
      <w:pPr>
        <w:spacing w:after="0" w:line="360" w:lineRule="auto"/>
        <w:jc w:val="both"/>
        <w:rPr>
          <w:rFonts w:ascii="Times New Roman" w:hAnsi="Times New Roman" w:cs="Times New Roman"/>
          <w:b/>
          <w:bCs/>
          <w:sz w:val="24"/>
          <w:szCs w:val="24"/>
        </w:rPr>
      </w:pPr>
    </w:p>
    <w:p w14:paraId="688B1FAA">
      <w:pPr>
        <w:pStyle w:val="5"/>
        <w:bidi w:val="0"/>
        <w:spacing w:line="360" w:lineRule="auto"/>
        <w:jc w:val="center"/>
      </w:pPr>
      <w:r>
        <w:t>Table 4.</w:t>
      </w:r>
      <w:r>
        <w:rPr>
          <w:rFonts w:hint="default"/>
          <w:lang w:val="en-US"/>
        </w:rPr>
        <w:t>1.</w:t>
      </w:r>
      <w:r>
        <w:t>10 Additional Insights for Switching Providers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208"/>
        <w:gridCol w:w="1387"/>
        <w:gridCol w:w="1942"/>
      </w:tblGrid>
      <w:tr w14:paraId="349D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5163" w:type="dxa"/>
            <w:vAlign w:val="center"/>
          </w:tcPr>
          <w:p w14:paraId="3C4ABD1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Primary Reasons for Considering Switching Providers</w:t>
            </w:r>
          </w:p>
        </w:tc>
        <w:tc>
          <w:tcPr>
            <w:tcW w:w="1357" w:type="dxa"/>
            <w:vAlign w:val="center"/>
          </w:tcPr>
          <w:p w14:paraId="1A45BAC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97" w:type="dxa"/>
            <w:vAlign w:val="center"/>
          </w:tcPr>
          <w:p w14:paraId="001B5BC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08505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22613C46">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Poor Service Quality</w:t>
            </w:r>
          </w:p>
        </w:tc>
        <w:tc>
          <w:tcPr>
            <w:tcW w:w="1357" w:type="dxa"/>
            <w:vAlign w:val="center"/>
          </w:tcPr>
          <w:p w14:paraId="075220F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958</w:t>
            </w:r>
          </w:p>
        </w:tc>
        <w:tc>
          <w:tcPr>
            <w:tcW w:w="1897" w:type="dxa"/>
            <w:vAlign w:val="center"/>
          </w:tcPr>
          <w:p w14:paraId="74C6C3B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69.3%</w:t>
            </w:r>
          </w:p>
        </w:tc>
      </w:tr>
      <w:tr w14:paraId="0D6E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0DF71DD1">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High Costs</w:t>
            </w:r>
          </w:p>
        </w:tc>
        <w:tc>
          <w:tcPr>
            <w:tcW w:w="1357" w:type="dxa"/>
            <w:vAlign w:val="center"/>
          </w:tcPr>
          <w:p w14:paraId="5C3F885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1019</w:t>
            </w:r>
          </w:p>
        </w:tc>
        <w:tc>
          <w:tcPr>
            <w:tcW w:w="1897" w:type="dxa"/>
            <w:vAlign w:val="center"/>
          </w:tcPr>
          <w:p w14:paraId="0C5E019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73.7%</w:t>
            </w:r>
          </w:p>
        </w:tc>
      </w:tr>
      <w:tr w14:paraId="6FB3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726B1B2F">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Better Offers from Competitors</w:t>
            </w:r>
          </w:p>
        </w:tc>
        <w:tc>
          <w:tcPr>
            <w:tcW w:w="1357" w:type="dxa"/>
            <w:vAlign w:val="center"/>
          </w:tcPr>
          <w:p w14:paraId="11FEDCE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840</w:t>
            </w:r>
          </w:p>
        </w:tc>
        <w:tc>
          <w:tcPr>
            <w:tcW w:w="1897" w:type="dxa"/>
            <w:vAlign w:val="center"/>
          </w:tcPr>
          <w:p w14:paraId="796D431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60.8%</w:t>
            </w:r>
          </w:p>
        </w:tc>
      </w:tr>
      <w:tr w14:paraId="5374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572FC204">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Customer Service Issues</w:t>
            </w:r>
          </w:p>
        </w:tc>
        <w:tc>
          <w:tcPr>
            <w:tcW w:w="1357" w:type="dxa"/>
            <w:vAlign w:val="center"/>
          </w:tcPr>
          <w:p w14:paraId="5E32E5C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780</w:t>
            </w:r>
          </w:p>
        </w:tc>
        <w:tc>
          <w:tcPr>
            <w:tcW w:w="1897" w:type="dxa"/>
            <w:vAlign w:val="center"/>
          </w:tcPr>
          <w:p w14:paraId="61A6B4D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56.4%</w:t>
            </w:r>
          </w:p>
        </w:tc>
      </w:tr>
      <w:tr w14:paraId="3775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459021CA">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Network Coverage Issues</w:t>
            </w:r>
          </w:p>
        </w:tc>
        <w:tc>
          <w:tcPr>
            <w:tcW w:w="1357" w:type="dxa"/>
            <w:vAlign w:val="center"/>
          </w:tcPr>
          <w:p w14:paraId="456D150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639</w:t>
            </w:r>
          </w:p>
        </w:tc>
        <w:tc>
          <w:tcPr>
            <w:tcW w:w="1897" w:type="dxa"/>
            <w:vAlign w:val="center"/>
          </w:tcPr>
          <w:p w14:paraId="04CC94C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46.2%</w:t>
            </w:r>
          </w:p>
        </w:tc>
      </w:tr>
      <w:tr w14:paraId="083E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21B83D40">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Other</w:t>
            </w:r>
          </w:p>
        </w:tc>
        <w:tc>
          <w:tcPr>
            <w:tcW w:w="1357" w:type="dxa"/>
            <w:vAlign w:val="center"/>
          </w:tcPr>
          <w:p w14:paraId="341284C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59</w:t>
            </w:r>
          </w:p>
        </w:tc>
        <w:tc>
          <w:tcPr>
            <w:tcW w:w="1897" w:type="dxa"/>
            <w:vAlign w:val="center"/>
          </w:tcPr>
          <w:p w14:paraId="457DDAC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4.3%</w:t>
            </w:r>
          </w:p>
        </w:tc>
      </w:tr>
    </w:tbl>
    <w:p w14:paraId="4F383C77">
      <w:pPr>
        <w:spacing w:after="0" w:line="360" w:lineRule="auto"/>
        <w:jc w:val="both"/>
        <w:rPr>
          <w:rFonts w:ascii="Times New Roman" w:hAnsi="Times New Roman" w:cs="Times New Roman"/>
          <w:sz w:val="24"/>
          <w:szCs w:val="24"/>
        </w:rPr>
      </w:pPr>
    </w:p>
    <w:p w14:paraId="3B746FA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a multi-response scenario, respondents can select more than one reason. As a result, the sum of these frequencies (958 + 1,019 + 840 + 780 + 639 + 59 = 4,295) exceeds 1,383. Each frequency represents the number (and estimated proportion) of respondents indicating that specific reason</w:t>
      </w:r>
    </w:p>
    <w:p w14:paraId="7CED46D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35C498A0">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Poor Service Quality</w:t>
      </w:r>
      <w:r>
        <w:rPr>
          <w:rFonts w:ascii="Times New Roman" w:hAnsi="Times New Roman" w:cs="Times New Roman"/>
          <w:sz w:val="24"/>
          <w:szCs w:val="24"/>
        </w:rPr>
        <w:t xml:space="preserve">: </w:t>
      </w:r>
      <w:r>
        <w:rPr>
          <w:rFonts w:ascii="Times New Roman" w:hAnsi="Times New Roman" w:cs="Times New Roman"/>
          <w:b/>
          <w:bCs/>
          <w:sz w:val="24"/>
          <w:szCs w:val="24"/>
        </w:rPr>
        <w:t>69.3%</w:t>
      </w:r>
      <w:r>
        <w:rPr>
          <w:rFonts w:ascii="Times New Roman" w:hAnsi="Times New Roman" w:cs="Times New Roman"/>
          <w:sz w:val="24"/>
          <w:szCs w:val="24"/>
        </w:rPr>
        <w:t xml:space="preserve"> of respondents cited poor service quality as a primary reason for considering switching. This indicates that addressing quality issues is critical to retaining customers.</w:t>
      </w:r>
    </w:p>
    <w:p w14:paraId="52201435">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High Costs</w:t>
      </w:r>
      <w:r>
        <w:rPr>
          <w:rFonts w:ascii="Times New Roman" w:hAnsi="Times New Roman" w:cs="Times New Roman"/>
          <w:sz w:val="24"/>
          <w:szCs w:val="24"/>
        </w:rPr>
        <w:t xml:space="preserve">: </w:t>
      </w:r>
      <w:r>
        <w:rPr>
          <w:rFonts w:ascii="Times New Roman" w:hAnsi="Times New Roman" w:cs="Times New Roman"/>
          <w:b/>
          <w:bCs/>
          <w:sz w:val="24"/>
          <w:szCs w:val="24"/>
        </w:rPr>
        <w:t>73.7%</w:t>
      </w:r>
      <w:r>
        <w:rPr>
          <w:rFonts w:ascii="Times New Roman" w:hAnsi="Times New Roman" w:cs="Times New Roman"/>
          <w:sz w:val="24"/>
          <w:szCs w:val="24"/>
        </w:rPr>
        <w:t xml:space="preserve"> of respondents are considering switching due to high costs. This reinforces the need for competitive pricing and cost-effective plans to improve customer retention.</w:t>
      </w:r>
    </w:p>
    <w:p w14:paraId="33B4062D">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Better Offers from Competitors</w:t>
      </w:r>
      <w:r>
        <w:rPr>
          <w:rFonts w:ascii="Times New Roman" w:hAnsi="Times New Roman" w:cs="Times New Roman"/>
          <w:sz w:val="24"/>
          <w:szCs w:val="24"/>
        </w:rPr>
        <w:t xml:space="preserve">: </w:t>
      </w:r>
      <w:r>
        <w:rPr>
          <w:rFonts w:ascii="Times New Roman" w:hAnsi="Times New Roman" w:cs="Times New Roman"/>
          <w:b/>
          <w:bCs/>
          <w:sz w:val="24"/>
          <w:szCs w:val="24"/>
        </w:rPr>
        <w:t>60.8%</w:t>
      </w:r>
      <w:r>
        <w:rPr>
          <w:rFonts w:ascii="Times New Roman" w:hAnsi="Times New Roman" w:cs="Times New Roman"/>
          <w:sz w:val="24"/>
          <w:szCs w:val="24"/>
        </w:rPr>
        <w:t xml:space="preserve"> are enticed by better offers from competitors. This highlights the importance of regular evaluations of competitors' offerings and ensuring that your own plans remain attractive.</w:t>
      </w:r>
    </w:p>
    <w:p w14:paraId="1C5DCCC8">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Customer Service Issues</w:t>
      </w:r>
      <w:r>
        <w:rPr>
          <w:rFonts w:ascii="Times New Roman" w:hAnsi="Times New Roman" w:cs="Times New Roman"/>
          <w:sz w:val="24"/>
          <w:szCs w:val="24"/>
        </w:rPr>
        <w:t xml:space="preserve">: </w:t>
      </w:r>
      <w:r>
        <w:rPr>
          <w:rFonts w:ascii="Times New Roman" w:hAnsi="Times New Roman" w:cs="Times New Roman"/>
          <w:b/>
          <w:bCs/>
          <w:sz w:val="24"/>
          <w:szCs w:val="24"/>
        </w:rPr>
        <w:t>56.4%</w:t>
      </w:r>
      <w:r>
        <w:rPr>
          <w:rFonts w:ascii="Times New Roman" w:hAnsi="Times New Roman" w:cs="Times New Roman"/>
          <w:sz w:val="24"/>
          <w:szCs w:val="24"/>
        </w:rPr>
        <w:t xml:space="preserve"> of respondents indicated customer service issues as a reason for switching. Enhancing customer service and resolving complaints efficiently can help in retaining customers.</w:t>
      </w:r>
    </w:p>
    <w:p w14:paraId="5585E5BA">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Network Coverage Issues</w:t>
      </w:r>
      <w:r>
        <w:rPr>
          <w:rFonts w:ascii="Times New Roman" w:hAnsi="Times New Roman" w:cs="Times New Roman"/>
          <w:sz w:val="24"/>
          <w:szCs w:val="24"/>
        </w:rPr>
        <w:t xml:space="preserve">: </w:t>
      </w:r>
      <w:r>
        <w:rPr>
          <w:rFonts w:ascii="Times New Roman" w:hAnsi="Times New Roman" w:cs="Times New Roman"/>
          <w:b/>
          <w:bCs/>
          <w:sz w:val="24"/>
          <w:szCs w:val="24"/>
        </w:rPr>
        <w:t>46.2%</w:t>
      </w:r>
      <w:r>
        <w:rPr>
          <w:rFonts w:ascii="Times New Roman" w:hAnsi="Times New Roman" w:cs="Times New Roman"/>
          <w:sz w:val="24"/>
          <w:szCs w:val="24"/>
        </w:rPr>
        <w:t xml:space="preserve"> reported network coverage issues as a factor. Improving network infrastructure to provide better coverage can reduce the likelihood of customers switching.</w:t>
      </w:r>
    </w:p>
    <w:p w14:paraId="332DB094">
      <w:pPr>
        <w:numPr>
          <w:ilvl w:val="0"/>
          <w:numId w:val="19"/>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Other</w:t>
      </w:r>
      <w:r>
        <w:rPr>
          <w:rFonts w:ascii="Times New Roman" w:hAnsi="Times New Roman" w:cs="Times New Roman"/>
          <w:sz w:val="24"/>
          <w:szCs w:val="24"/>
        </w:rPr>
        <w:t xml:space="preserve">: </w:t>
      </w:r>
      <w:r>
        <w:rPr>
          <w:rFonts w:ascii="Times New Roman" w:hAnsi="Times New Roman" w:cs="Times New Roman"/>
          <w:b/>
          <w:bCs/>
          <w:sz w:val="24"/>
          <w:szCs w:val="24"/>
        </w:rPr>
        <w:t>4.3%</w:t>
      </w:r>
      <w:r>
        <w:rPr>
          <w:rFonts w:ascii="Times New Roman" w:hAnsi="Times New Roman" w:cs="Times New Roman"/>
          <w:sz w:val="24"/>
          <w:szCs w:val="24"/>
        </w:rPr>
        <w:t xml:space="preserve"> provided other reasons not listed. This small percentage suggests that there may be niche concerns affecting a minor segment of the customer base.</w:t>
      </w:r>
    </w:p>
    <w:p w14:paraId="7ADBE6D1">
      <w:pPr>
        <w:pStyle w:val="3"/>
        <w:bidi w:val="0"/>
        <w:spacing w:line="360" w:lineRule="auto"/>
      </w:pPr>
      <w:bookmarkStart w:id="50" w:name="_Hlk184216417"/>
      <w:r>
        <w:rPr>
          <w:rFonts w:hint="default"/>
          <w:lang w:val="en-US"/>
        </w:rPr>
        <w:t>4.2</w:t>
      </w:r>
      <w:r>
        <w:rPr>
          <w:rFonts w:hint="default"/>
          <w:lang w:val="en-US"/>
        </w:rPr>
        <w:tab/>
      </w:r>
      <w:r>
        <w:t>Exploratory Data Analysis</w:t>
      </w:r>
    </w:p>
    <w:p w14:paraId="6132E3F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exploratory data analysis (EDA) of the telecommunications customers profile is presented in Table 4.</w:t>
      </w:r>
      <w:r>
        <w:rPr>
          <w:rFonts w:hint="default" w:ascii="Times New Roman" w:hAnsi="Times New Roman" w:cs="Times New Roman"/>
          <w:sz w:val="24"/>
          <w:szCs w:val="24"/>
          <w:lang w:val="en-US"/>
        </w:rPr>
        <w:t>2</w:t>
      </w:r>
      <w:r>
        <w:rPr>
          <w:rFonts w:ascii="Times New Roman" w:hAnsi="Times New Roman" w:cs="Times New Roman"/>
          <w:sz w:val="24"/>
          <w:szCs w:val="24"/>
        </w:rPr>
        <w:t xml:space="preserve"> with features and their data types. It indicates that 13 features were selected for prediction of customers churn behaviour. A total of 1,383 data points were split into two for training and testing the ML models in the ratio of 8:2.</w:t>
      </w:r>
    </w:p>
    <w:p w14:paraId="0BEAB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features include Age, Gender, Subscription Type, Occupation, Educational Level, Monthly Spending (NGN), Contract Length (Months), Monthly Data Usage (GB), Primary Communication Method, Customer Complaints and Churn as the output variable with two outcomes ’Yes’ or ‘No’. The EDA further categorize the data types as follows: </w:t>
      </w:r>
      <w:r>
        <w:rPr>
          <w:rFonts w:ascii="Times New Roman" w:hAnsi="Times New Roman" w:eastAsia="Times New Roman" w:cs="Times New Roman"/>
          <w:color w:val="1F1F1F"/>
          <w:sz w:val="24"/>
          <w:szCs w:val="24"/>
        </w:rPr>
        <w:t>float64(1), int64(4), object(8) with a memory usage of 702.4+ KB.</w:t>
      </w:r>
    </w:p>
    <w:p w14:paraId="47393284">
      <w:pPr>
        <w:pStyle w:val="5"/>
        <w:bidi w:val="0"/>
        <w:jc w:val="center"/>
      </w:pPr>
      <w:r>
        <w:t>Table 4.</w:t>
      </w:r>
      <w:r>
        <w:rPr>
          <w:rFonts w:hint="default"/>
          <w:lang w:val="en-US"/>
        </w:rPr>
        <w:t>2</w:t>
      </w:r>
      <w:r>
        <w:t xml:space="preserve"> Features Set and their Data Types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
        <w:gridCol w:w="3600"/>
        <w:gridCol w:w="1530"/>
      </w:tblGrid>
      <w:tr w14:paraId="57544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853D89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S/N</w:t>
            </w:r>
          </w:p>
        </w:tc>
        <w:tc>
          <w:tcPr>
            <w:tcW w:w="3600" w:type="dxa"/>
            <w:vAlign w:val="center"/>
          </w:tcPr>
          <w:p w14:paraId="43A9864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Features</w:t>
            </w:r>
          </w:p>
        </w:tc>
        <w:tc>
          <w:tcPr>
            <w:tcW w:w="1530" w:type="dxa"/>
            <w:vAlign w:val="center"/>
          </w:tcPr>
          <w:p w14:paraId="599229A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14:paraId="69124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5652A26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600" w:type="dxa"/>
            <w:vAlign w:val="center"/>
          </w:tcPr>
          <w:p w14:paraId="3B2DB52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Age</w:t>
            </w:r>
          </w:p>
        </w:tc>
        <w:tc>
          <w:tcPr>
            <w:tcW w:w="1530" w:type="dxa"/>
            <w:vAlign w:val="center"/>
          </w:tcPr>
          <w:p w14:paraId="638B10D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20024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E6676A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600" w:type="dxa"/>
            <w:vAlign w:val="center"/>
          </w:tcPr>
          <w:p w14:paraId="3BE3A1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Gender</w:t>
            </w:r>
          </w:p>
        </w:tc>
        <w:tc>
          <w:tcPr>
            <w:tcW w:w="1530" w:type="dxa"/>
            <w:vAlign w:val="center"/>
          </w:tcPr>
          <w:p w14:paraId="26A4EC1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4C20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124A6CE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600" w:type="dxa"/>
            <w:vAlign w:val="center"/>
          </w:tcPr>
          <w:p w14:paraId="4C3FF9B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Subscription Type</w:t>
            </w:r>
          </w:p>
        </w:tc>
        <w:tc>
          <w:tcPr>
            <w:tcW w:w="1530" w:type="dxa"/>
            <w:vAlign w:val="center"/>
          </w:tcPr>
          <w:p w14:paraId="4D5B8C4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61B8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239866E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600" w:type="dxa"/>
            <w:vAlign w:val="center"/>
          </w:tcPr>
          <w:p w14:paraId="28B134D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Occupation</w:t>
            </w:r>
          </w:p>
        </w:tc>
        <w:tc>
          <w:tcPr>
            <w:tcW w:w="1530" w:type="dxa"/>
            <w:vAlign w:val="center"/>
          </w:tcPr>
          <w:p w14:paraId="3145E6E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FF5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CAD924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600" w:type="dxa"/>
            <w:vAlign w:val="center"/>
          </w:tcPr>
          <w:p w14:paraId="29D0A56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Educational Level</w:t>
            </w:r>
          </w:p>
        </w:tc>
        <w:tc>
          <w:tcPr>
            <w:tcW w:w="1530" w:type="dxa"/>
            <w:vAlign w:val="center"/>
          </w:tcPr>
          <w:p w14:paraId="446709F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10F0D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56CB9D9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600" w:type="dxa"/>
            <w:vAlign w:val="center"/>
          </w:tcPr>
          <w:p w14:paraId="5C6A60F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Monthly Spending (NGN)</w:t>
            </w:r>
          </w:p>
        </w:tc>
        <w:tc>
          <w:tcPr>
            <w:tcW w:w="1530" w:type="dxa"/>
            <w:vAlign w:val="center"/>
          </w:tcPr>
          <w:p w14:paraId="7816776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7990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021F050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3600" w:type="dxa"/>
            <w:vAlign w:val="center"/>
          </w:tcPr>
          <w:p w14:paraId="7B0F816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Contract Length (months)</w:t>
            </w:r>
          </w:p>
        </w:tc>
        <w:tc>
          <w:tcPr>
            <w:tcW w:w="1530" w:type="dxa"/>
            <w:vAlign w:val="center"/>
          </w:tcPr>
          <w:p w14:paraId="1CE4334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7078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41C1C1F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3600" w:type="dxa"/>
            <w:vAlign w:val="center"/>
          </w:tcPr>
          <w:p w14:paraId="413B0AC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Monthly Call Usage (Minutes)</w:t>
            </w:r>
          </w:p>
        </w:tc>
        <w:tc>
          <w:tcPr>
            <w:tcW w:w="1530" w:type="dxa"/>
            <w:vAlign w:val="center"/>
          </w:tcPr>
          <w:p w14:paraId="111868C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5588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56CFDC4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3600" w:type="dxa"/>
            <w:vAlign w:val="center"/>
          </w:tcPr>
          <w:p w14:paraId="7F41559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Monthly Data usage (GB)</w:t>
            </w:r>
          </w:p>
        </w:tc>
        <w:tc>
          <w:tcPr>
            <w:tcW w:w="1530" w:type="dxa"/>
            <w:vAlign w:val="center"/>
          </w:tcPr>
          <w:p w14:paraId="087D99F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float64</w:t>
            </w:r>
          </w:p>
        </w:tc>
      </w:tr>
      <w:tr w14:paraId="5EF1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6759708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3600" w:type="dxa"/>
            <w:vAlign w:val="center"/>
          </w:tcPr>
          <w:p w14:paraId="6D3E425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Primary Communication Method</w:t>
            </w:r>
          </w:p>
        </w:tc>
        <w:tc>
          <w:tcPr>
            <w:tcW w:w="1530" w:type="dxa"/>
            <w:vAlign w:val="center"/>
          </w:tcPr>
          <w:p w14:paraId="0884851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1253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6F33E2C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3600" w:type="dxa"/>
            <w:vAlign w:val="center"/>
          </w:tcPr>
          <w:p w14:paraId="3490746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Customer Complaints</w:t>
            </w:r>
          </w:p>
        </w:tc>
        <w:tc>
          <w:tcPr>
            <w:tcW w:w="1530" w:type="dxa"/>
            <w:vAlign w:val="center"/>
          </w:tcPr>
          <w:p w14:paraId="24CEEB4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D78E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B73CBC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3600" w:type="dxa"/>
            <w:vAlign w:val="center"/>
          </w:tcPr>
          <w:p w14:paraId="245DE2F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Telecom Provider</w:t>
            </w:r>
          </w:p>
        </w:tc>
        <w:tc>
          <w:tcPr>
            <w:tcW w:w="1530" w:type="dxa"/>
            <w:vAlign w:val="center"/>
          </w:tcPr>
          <w:p w14:paraId="40D81A6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810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62EEAB4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3600" w:type="dxa"/>
            <w:vAlign w:val="center"/>
          </w:tcPr>
          <w:p w14:paraId="792D4AE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Churn</w:t>
            </w:r>
          </w:p>
        </w:tc>
        <w:tc>
          <w:tcPr>
            <w:tcW w:w="1530" w:type="dxa"/>
            <w:vAlign w:val="center"/>
          </w:tcPr>
          <w:p w14:paraId="599EB19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bl>
    <w:p w14:paraId="79BEED6A">
      <w:pPr>
        <w:spacing w:after="0" w:line="360" w:lineRule="auto"/>
        <w:rPr>
          <w:rFonts w:ascii="Courier New" w:hAnsi="Courier New" w:eastAsia="Times New Roman" w:cs="Courier New"/>
          <w:color w:val="1F1F1F"/>
          <w:sz w:val="20"/>
          <w:szCs w:val="20"/>
        </w:rPr>
      </w:pPr>
    </w:p>
    <w:p w14:paraId="2CA6EF46">
      <w:pPr>
        <w:spacing w:line="360" w:lineRule="auto"/>
        <w:jc w:val="both"/>
        <w:rPr>
          <w:rFonts w:ascii="Times New Roman" w:hAnsi="Times New Roman" w:cs="Times New Roman"/>
          <w:sz w:val="24"/>
          <w:szCs w:val="24"/>
        </w:rPr>
      </w:pPr>
      <w:r>
        <w:rPr>
          <w:rFonts w:ascii="Times New Roman" w:hAnsi="Times New Roman" w:cs="Times New Roman"/>
          <w:sz w:val="24"/>
          <w:szCs w:val="24"/>
        </w:rPr>
        <w:t>The Subscription Type are Prepaid and Postpaid; Occupation are Student, Self-employed, Employed, Unemployed; Primary Communication Method includes Call, Text, and Data while Educational Level is Secondary or Tertiary. Furthermore, Figures 4.</w:t>
      </w:r>
      <w:r>
        <w:rPr>
          <w:rFonts w:hint="default" w:ascii="Times New Roman" w:hAnsi="Times New Roman" w:cs="Times New Roman"/>
          <w:sz w:val="24"/>
          <w:szCs w:val="24"/>
          <w:lang w:val="en-US"/>
        </w:rPr>
        <w:t>2.1</w:t>
      </w:r>
      <w:r>
        <w:rPr>
          <w:rFonts w:ascii="Times New Roman" w:hAnsi="Times New Roman" w:cs="Times New Roman"/>
          <w:sz w:val="24"/>
          <w:szCs w:val="24"/>
        </w:rPr>
        <w:t xml:space="preserve"> – 4.</w:t>
      </w:r>
      <w:r>
        <w:rPr>
          <w:rFonts w:hint="default" w:ascii="Times New Roman" w:hAnsi="Times New Roman" w:cs="Times New Roman"/>
          <w:sz w:val="24"/>
          <w:szCs w:val="24"/>
          <w:lang w:val="en-US"/>
        </w:rPr>
        <w:t>2.7</w:t>
      </w:r>
      <w:r>
        <w:rPr>
          <w:rFonts w:ascii="Times New Roman" w:hAnsi="Times New Roman" w:cs="Times New Roman"/>
          <w:sz w:val="24"/>
          <w:szCs w:val="24"/>
        </w:rPr>
        <w:t xml:space="preserve"> presents the Telecom customers distribution based on Gender, Subscription Type, Occupation, Educational Level, Complaints, Communication Method and Churn Tendency.</w:t>
      </w:r>
    </w:p>
    <w:p w14:paraId="1B361C56">
      <w:pPr>
        <w:spacing w:line="360" w:lineRule="auto"/>
        <w:jc w:val="center"/>
      </w:pPr>
      <w:r>
        <w:drawing>
          <wp:inline distT="0" distB="0" distL="0" distR="0">
            <wp:extent cx="5267960" cy="3419475"/>
            <wp:effectExtent l="0" t="0" r="8890" b="0"/>
            <wp:docPr id="1372857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57543"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85954" cy="3430788"/>
                    </a:xfrm>
                    <a:prstGeom prst="rect">
                      <a:avLst/>
                    </a:prstGeom>
                    <a:noFill/>
                    <a:ln>
                      <a:noFill/>
                    </a:ln>
                  </pic:spPr>
                </pic:pic>
              </a:graphicData>
            </a:graphic>
          </wp:inline>
        </w:drawing>
      </w:r>
    </w:p>
    <w:p w14:paraId="05E9C2CC">
      <w:pPr>
        <w:pStyle w:val="5"/>
        <w:bidi w:val="0"/>
        <w:jc w:val="center"/>
      </w:pPr>
      <w:r>
        <w:t>Figure 4.</w:t>
      </w:r>
      <w:r>
        <w:rPr>
          <w:rFonts w:hint="default"/>
          <w:lang w:val="en-US"/>
        </w:rPr>
        <w:t>2.1</w:t>
      </w:r>
      <w:r>
        <w:t xml:space="preserve"> Customers Distribution based on Gender</w:t>
      </w:r>
    </w:p>
    <w:p w14:paraId="73E2BE62">
      <w:pPr>
        <w:spacing w:line="360" w:lineRule="auto"/>
      </w:pPr>
    </w:p>
    <w:p w14:paraId="5CAEB13B">
      <w:pPr>
        <w:spacing w:line="360" w:lineRule="auto"/>
        <w:jc w:val="center"/>
      </w:pPr>
      <w:r>
        <w:drawing>
          <wp:inline distT="0" distB="0" distL="0" distR="0">
            <wp:extent cx="5143500" cy="3323590"/>
            <wp:effectExtent l="0" t="0" r="0" b="0"/>
            <wp:docPr id="1045000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0175"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85137" cy="3350950"/>
                    </a:xfrm>
                    <a:prstGeom prst="rect">
                      <a:avLst/>
                    </a:prstGeom>
                    <a:noFill/>
                    <a:ln>
                      <a:noFill/>
                    </a:ln>
                  </pic:spPr>
                </pic:pic>
              </a:graphicData>
            </a:graphic>
          </wp:inline>
        </w:drawing>
      </w:r>
    </w:p>
    <w:p w14:paraId="7B2AE606">
      <w:pPr>
        <w:pStyle w:val="5"/>
        <w:bidi w:val="0"/>
        <w:jc w:val="center"/>
      </w:pPr>
      <w:r>
        <w:t>Figure 4.2</w:t>
      </w:r>
      <w:r>
        <w:rPr>
          <w:rFonts w:hint="default"/>
          <w:lang w:val="en-US"/>
        </w:rPr>
        <w:t>.2</w:t>
      </w:r>
      <w:r>
        <w:t xml:space="preserve"> Customers Distribution based on Subscription Type</w:t>
      </w:r>
    </w:p>
    <w:p w14:paraId="41F9265C"/>
    <w:p w14:paraId="37C77009">
      <w:pPr>
        <w:spacing w:line="360" w:lineRule="auto"/>
        <w:jc w:val="center"/>
      </w:pPr>
      <w:r>
        <w:drawing>
          <wp:inline distT="0" distB="0" distL="0" distR="0">
            <wp:extent cx="4914900" cy="3638550"/>
            <wp:effectExtent l="0" t="0" r="0" b="0"/>
            <wp:docPr id="12972109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10953"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914900" cy="3638550"/>
                    </a:xfrm>
                    <a:prstGeom prst="rect">
                      <a:avLst/>
                    </a:prstGeom>
                    <a:noFill/>
                    <a:ln>
                      <a:noFill/>
                    </a:ln>
                  </pic:spPr>
                </pic:pic>
              </a:graphicData>
            </a:graphic>
          </wp:inline>
        </w:drawing>
      </w:r>
    </w:p>
    <w:p w14:paraId="7921ECD9">
      <w:pPr>
        <w:pStyle w:val="5"/>
        <w:bidi w:val="0"/>
        <w:jc w:val="center"/>
      </w:pPr>
      <w:r>
        <w:t>Figure 4.</w:t>
      </w:r>
      <w:r>
        <w:rPr>
          <w:rFonts w:hint="default"/>
          <w:lang w:val="en-US"/>
        </w:rPr>
        <w:t>2.3</w:t>
      </w:r>
      <w:r>
        <w:t xml:space="preserve"> Customers Distribution based on Occupation</w:t>
      </w:r>
    </w:p>
    <w:p w14:paraId="25882A09">
      <w:pPr>
        <w:spacing w:line="360" w:lineRule="auto"/>
      </w:pPr>
    </w:p>
    <w:p w14:paraId="73C14FA4">
      <w:pPr>
        <w:spacing w:line="360" w:lineRule="auto"/>
        <w:jc w:val="center"/>
      </w:pPr>
      <w:r>
        <w:drawing>
          <wp:inline distT="0" distB="0" distL="0" distR="0">
            <wp:extent cx="4886325" cy="3491230"/>
            <wp:effectExtent l="0" t="0" r="9525" b="0"/>
            <wp:docPr id="19569738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73816"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888367" cy="3492689"/>
                    </a:xfrm>
                    <a:prstGeom prst="rect">
                      <a:avLst/>
                    </a:prstGeom>
                    <a:noFill/>
                    <a:ln>
                      <a:noFill/>
                    </a:ln>
                  </pic:spPr>
                </pic:pic>
              </a:graphicData>
            </a:graphic>
          </wp:inline>
        </w:drawing>
      </w:r>
    </w:p>
    <w:p w14:paraId="5A194581">
      <w:pPr>
        <w:pStyle w:val="5"/>
        <w:bidi w:val="0"/>
        <w:jc w:val="center"/>
      </w:pPr>
      <w:r>
        <w:t>Figure 4.</w:t>
      </w:r>
      <w:r>
        <w:rPr>
          <w:rFonts w:hint="default"/>
          <w:lang w:val="en-US"/>
        </w:rPr>
        <w:t>2.4</w:t>
      </w:r>
      <w:r>
        <w:t xml:space="preserve"> Customers Distribution based on Educational Level</w:t>
      </w:r>
    </w:p>
    <w:p w14:paraId="168C5AAE">
      <w:pPr>
        <w:spacing w:line="360" w:lineRule="auto"/>
        <w:jc w:val="center"/>
      </w:pPr>
      <w:r>
        <w:drawing>
          <wp:inline distT="0" distB="0" distL="0" distR="0">
            <wp:extent cx="4610100" cy="3804285"/>
            <wp:effectExtent l="0" t="0" r="0" b="5715"/>
            <wp:docPr id="9909230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23066"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611886" cy="3806235"/>
                    </a:xfrm>
                    <a:prstGeom prst="rect">
                      <a:avLst/>
                    </a:prstGeom>
                    <a:noFill/>
                    <a:ln>
                      <a:noFill/>
                    </a:ln>
                  </pic:spPr>
                </pic:pic>
              </a:graphicData>
            </a:graphic>
          </wp:inline>
        </w:drawing>
      </w:r>
    </w:p>
    <w:p w14:paraId="217F7F82">
      <w:pPr>
        <w:pStyle w:val="5"/>
        <w:bidi w:val="0"/>
        <w:jc w:val="center"/>
      </w:pPr>
      <w:r>
        <w:t>Figure 4.</w:t>
      </w:r>
      <w:r>
        <w:rPr>
          <w:rFonts w:hint="default"/>
          <w:lang w:val="en-US"/>
        </w:rPr>
        <w:t>2.5</w:t>
      </w:r>
      <w:r>
        <w:t xml:space="preserve"> Customers Distribution based on Complaints</w:t>
      </w:r>
    </w:p>
    <w:p w14:paraId="334B5DD7">
      <w:pPr>
        <w:spacing w:line="360" w:lineRule="auto"/>
      </w:pPr>
    </w:p>
    <w:p w14:paraId="6D5BE31C">
      <w:pPr>
        <w:spacing w:line="360" w:lineRule="auto"/>
        <w:jc w:val="center"/>
      </w:pPr>
      <w:r>
        <w:drawing>
          <wp:inline distT="0" distB="0" distL="0" distR="0">
            <wp:extent cx="4867275" cy="3258820"/>
            <wp:effectExtent l="0" t="0" r="0" b="0"/>
            <wp:docPr id="12468480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4804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878668" cy="3267040"/>
                    </a:xfrm>
                    <a:prstGeom prst="rect">
                      <a:avLst/>
                    </a:prstGeom>
                    <a:noFill/>
                    <a:ln>
                      <a:noFill/>
                    </a:ln>
                  </pic:spPr>
                </pic:pic>
              </a:graphicData>
            </a:graphic>
          </wp:inline>
        </w:drawing>
      </w:r>
    </w:p>
    <w:p w14:paraId="7924997C">
      <w:pPr>
        <w:pStyle w:val="5"/>
        <w:bidi w:val="0"/>
        <w:jc w:val="center"/>
      </w:pPr>
      <w:r>
        <w:t>Figure 4.</w:t>
      </w:r>
      <w:r>
        <w:rPr>
          <w:rFonts w:hint="default"/>
          <w:lang w:val="en-US"/>
        </w:rPr>
        <w:t>2.6</w:t>
      </w:r>
      <w:r>
        <w:t xml:space="preserve"> Customers Distribution based on Communication Method</w:t>
      </w:r>
    </w:p>
    <w:p w14:paraId="0C21350B">
      <w:pPr>
        <w:spacing w:line="360" w:lineRule="auto"/>
        <w:jc w:val="center"/>
      </w:pPr>
      <w:r>
        <w:drawing>
          <wp:inline distT="0" distB="0" distL="0" distR="0">
            <wp:extent cx="4581525" cy="3115310"/>
            <wp:effectExtent l="0" t="0" r="0" b="8890"/>
            <wp:docPr id="9869389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38931"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590312" cy="3121511"/>
                    </a:xfrm>
                    <a:prstGeom prst="rect">
                      <a:avLst/>
                    </a:prstGeom>
                    <a:noFill/>
                    <a:ln>
                      <a:noFill/>
                    </a:ln>
                  </pic:spPr>
                </pic:pic>
              </a:graphicData>
            </a:graphic>
          </wp:inline>
        </w:drawing>
      </w:r>
    </w:p>
    <w:p w14:paraId="70FC985F">
      <w:pPr>
        <w:pStyle w:val="5"/>
        <w:bidi w:val="0"/>
        <w:jc w:val="center"/>
      </w:pPr>
      <w:r>
        <w:t>Figure 4.</w:t>
      </w:r>
      <w:r>
        <w:rPr>
          <w:rFonts w:hint="default"/>
          <w:lang w:val="en-US"/>
        </w:rPr>
        <w:t>2.</w:t>
      </w:r>
      <w:r>
        <w:t>7 Customers Distribution based on Churning</w:t>
      </w:r>
    </w:p>
    <w:p w14:paraId="256E6941">
      <w:pPr>
        <w:spacing w:line="360" w:lineRule="auto"/>
      </w:pPr>
    </w:p>
    <w:p w14:paraId="17C89618">
      <w:pPr>
        <w:spacing w:after="0" w:line="360" w:lineRule="auto"/>
        <w:rPr>
          <w:rFonts w:ascii="Times New Roman" w:hAnsi="Times New Roman" w:cs="Times New Roman"/>
          <w:sz w:val="24"/>
          <w:szCs w:val="24"/>
        </w:rPr>
      </w:pPr>
      <w:r>
        <w:rPr>
          <w:rFonts w:ascii="Times New Roman" w:hAnsi="Times New Roman" w:cs="Times New Roman"/>
          <w:sz w:val="24"/>
          <w:szCs w:val="24"/>
        </w:rPr>
        <w:t>The customers distribution be</w:t>
      </w:r>
      <w:r>
        <w:rPr>
          <w:rFonts w:hint="default" w:ascii="Times New Roman" w:hAnsi="Times New Roman" w:cs="Times New Roman"/>
          <w:sz w:val="24"/>
          <w:szCs w:val="24"/>
          <w:lang w:val="en-US"/>
        </w:rPr>
        <w:t>ing</w:t>
      </w:r>
      <w:r>
        <w:rPr>
          <w:rFonts w:ascii="Times New Roman" w:hAnsi="Times New Roman" w:cs="Times New Roman"/>
          <w:sz w:val="24"/>
          <w:szCs w:val="24"/>
        </w:rPr>
        <w:t xml:space="preserve"> Age, Monthly Spending, Contract Length (Months), Monthly call Usage (Minutes), and Monthly Data Usage (GB) are presented in Figures 4.</w:t>
      </w:r>
      <w:r>
        <w:rPr>
          <w:rFonts w:hint="default" w:ascii="Times New Roman" w:hAnsi="Times New Roman" w:cs="Times New Roman"/>
          <w:sz w:val="24"/>
          <w:szCs w:val="24"/>
          <w:lang w:val="en-US"/>
        </w:rPr>
        <w:t>2.</w:t>
      </w:r>
      <w:r>
        <w:rPr>
          <w:rFonts w:ascii="Times New Roman" w:hAnsi="Times New Roman" w:cs="Times New Roman"/>
          <w:sz w:val="24"/>
          <w:szCs w:val="24"/>
        </w:rPr>
        <w:t>8</w:t>
      </w:r>
      <w:r>
        <w:rPr>
          <w:rFonts w:hint="default" w:ascii="Times New Roman" w:hAnsi="Times New Roman" w:cs="Times New Roman"/>
          <w:sz w:val="24"/>
          <w:szCs w:val="24"/>
          <w:lang w:val="en-US"/>
        </w:rPr>
        <w:t xml:space="preserve"> </w:t>
      </w:r>
      <w:r>
        <w:rPr>
          <w:rFonts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ascii="Times New Roman" w:hAnsi="Times New Roman" w:cs="Times New Roman"/>
          <w:sz w:val="24"/>
          <w:szCs w:val="24"/>
        </w:rPr>
        <w:t>4.</w:t>
      </w:r>
      <w:r>
        <w:rPr>
          <w:rFonts w:hint="default" w:ascii="Times New Roman" w:hAnsi="Times New Roman" w:cs="Times New Roman"/>
          <w:sz w:val="24"/>
          <w:szCs w:val="24"/>
          <w:lang w:val="en-US"/>
        </w:rPr>
        <w:t>2.</w:t>
      </w:r>
      <w:r>
        <w:rPr>
          <w:rFonts w:ascii="Times New Roman" w:hAnsi="Times New Roman" w:cs="Times New Roman"/>
          <w:sz w:val="24"/>
          <w:szCs w:val="24"/>
        </w:rPr>
        <w:t>12.</w:t>
      </w:r>
    </w:p>
    <w:p w14:paraId="0532C208">
      <w:pPr>
        <w:shd w:val="clear" w:color="auto" w:fill="FFFFFF"/>
        <w:spacing w:after="0" w:line="360" w:lineRule="auto"/>
        <w:jc w:val="center"/>
        <w:rPr>
          <w:rFonts w:ascii="Roboto" w:hAnsi="Roboto" w:eastAsia="Times New Roman" w:cs="Times New Roman"/>
          <w:color w:val="1F1F1F"/>
          <w:sz w:val="21"/>
          <w:szCs w:val="21"/>
        </w:rPr>
      </w:pPr>
      <w:r>
        <w:drawing>
          <wp:inline distT="0" distB="0" distL="0" distR="0">
            <wp:extent cx="4600575" cy="3114040"/>
            <wp:effectExtent l="0" t="0" r="0" b="0"/>
            <wp:docPr id="1926995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5233"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604623" cy="3116975"/>
                    </a:xfrm>
                    <a:prstGeom prst="rect">
                      <a:avLst/>
                    </a:prstGeom>
                    <a:noFill/>
                    <a:ln>
                      <a:noFill/>
                    </a:ln>
                  </pic:spPr>
                </pic:pic>
              </a:graphicData>
            </a:graphic>
          </wp:inline>
        </w:drawing>
      </w:r>
    </w:p>
    <w:p w14:paraId="074A5FF0">
      <w:pPr>
        <w:pStyle w:val="5"/>
        <w:bidi w:val="0"/>
        <w:jc w:val="center"/>
      </w:pPr>
      <w:r>
        <w:t>Figure 4.</w:t>
      </w:r>
      <w:r>
        <w:rPr>
          <w:rFonts w:hint="default"/>
          <w:lang w:val="en-US"/>
        </w:rPr>
        <w:t>2.</w:t>
      </w:r>
      <w:r>
        <w:t>8 Customers Distribution based on Age</w:t>
      </w:r>
    </w:p>
    <w:p w14:paraId="4B4F220D">
      <w:pPr>
        <w:shd w:val="clear" w:color="auto" w:fill="FFFFFF"/>
        <w:spacing w:after="0" w:line="360" w:lineRule="auto"/>
        <w:rPr>
          <w:rFonts w:ascii="Roboto" w:hAnsi="Roboto" w:eastAsia="Times New Roman" w:cs="Times New Roman"/>
          <w:color w:val="1F1F1F"/>
          <w:sz w:val="21"/>
          <w:szCs w:val="21"/>
        </w:rPr>
      </w:pPr>
    </w:p>
    <w:p w14:paraId="35DA187A">
      <w:pPr>
        <w:shd w:val="clear" w:color="auto" w:fill="FFFFFF"/>
        <w:spacing w:after="0" w:line="360" w:lineRule="auto"/>
        <w:jc w:val="center"/>
        <w:rPr>
          <w:rFonts w:ascii="Roboto" w:hAnsi="Roboto" w:eastAsia="Times New Roman" w:cs="Times New Roman"/>
          <w:color w:val="1F1F1F"/>
          <w:sz w:val="21"/>
          <w:szCs w:val="21"/>
        </w:rPr>
      </w:pPr>
      <w:r>
        <w:drawing>
          <wp:inline distT="0" distB="0" distL="0" distR="0">
            <wp:extent cx="4543425" cy="3075305"/>
            <wp:effectExtent l="0" t="0" r="0" b="0"/>
            <wp:docPr id="1290562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62386"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555005" cy="3083389"/>
                    </a:xfrm>
                    <a:prstGeom prst="rect">
                      <a:avLst/>
                    </a:prstGeom>
                    <a:noFill/>
                    <a:ln>
                      <a:noFill/>
                    </a:ln>
                  </pic:spPr>
                </pic:pic>
              </a:graphicData>
            </a:graphic>
          </wp:inline>
        </w:drawing>
      </w:r>
    </w:p>
    <w:p w14:paraId="0AE9CC4D">
      <w:pPr>
        <w:pStyle w:val="5"/>
        <w:bidi w:val="0"/>
        <w:jc w:val="center"/>
      </w:pPr>
      <w:r>
        <w:t>Figure 4.</w:t>
      </w:r>
      <w:r>
        <w:rPr>
          <w:rFonts w:hint="default"/>
          <w:lang w:val="en-US"/>
        </w:rPr>
        <w:t>2.</w:t>
      </w:r>
      <w:r>
        <w:t>9 Customers Distribution based on Monthly Spending (NGN)</w:t>
      </w:r>
    </w:p>
    <w:p w14:paraId="464F607E">
      <w:pPr>
        <w:shd w:val="clear" w:color="auto" w:fill="FFFFFF"/>
        <w:spacing w:after="0" w:line="360" w:lineRule="auto"/>
        <w:rPr>
          <w:rFonts w:ascii="Times New Roman" w:hAnsi="Times New Roman" w:eastAsia="Times New Roman" w:cs="Times New Roman"/>
          <w:b/>
          <w:bCs/>
          <w:color w:val="1F1F1F"/>
          <w:sz w:val="24"/>
          <w:szCs w:val="24"/>
        </w:rPr>
      </w:pPr>
    </w:p>
    <w:p w14:paraId="6E35964A">
      <w:pPr>
        <w:shd w:val="clear" w:color="auto" w:fill="FFFFFF"/>
        <w:spacing w:after="0" w:line="360" w:lineRule="auto"/>
        <w:rPr>
          <w:rFonts w:ascii="Roboto" w:hAnsi="Roboto" w:eastAsia="Times New Roman" w:cs="Times New Roman"/>
          <w:b/>
          <w:bCs/>
          <w:color w:val="1F1F1F"/>
          <w:sz w:val="21"/>
          <w:szCs w:val="21"/>
        </w:rPr>
      </w:pPr>
    </w:p>
    <w:p w14:paraId="18D390E4">
      <w:pPr>
        <w:spacing w:after="0" w:line="360" w:lineRule="auto"/>
        <w:jc w:val="center"/>
        <w:rPr>
          <w:rFonts w:ascii="Times New Roman" w:hAnsi="Times New Roman" w:cs="Times New Roman"/>
          <w:sz w:val="24"/>
          <w:szCs w:val="24"/>
        </w:rPr>
      </w:pPr>
      <w:r>
        <w:drawing>
          <wp:inline distT="0" distB="0" distL="0" distR="0">
            <wp:extent cx="4980940" cy="3371850"/>
            <wp:effectExtent l="0" t="0" r="0" b="0"/>
            <wp:docPr id="1348627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27793"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988060" cy="3376534"/>
                    </a:xfrm>
                    <a:prstGeom prst="rect">
                      <a:avLst/>
                    </a:prstGeom>
                    <a:noFill/>
                    <a:ln>
                      <a:noFill/>
                    </a:ln>
                  </pic:spPr>
                </pic:pic>
              </a:graphicData>
            </a:graphic>
          </wp:inline>
        </w:drawing>
      </w:r>
    </w:p>
    <w:p w14:paraId="076A45FC">
      <w:pPr>
        <w:pStyle w:val="5"/>
        <w:bidi w:val="0"/>
        <w:jc w:val="center"/>
      </w:pPr>
      <w:r>
        <w:t>Figure 4.</w:t>
      </w:r>
      <w:r>
        <w:rPr>
          <w:rFonts w:hint="default"/>
          <w:lang w:val="en-US"/>
        </w:rPr>
        <w:t>2.</w:t>
      </w:r>
      <w:r>
        <w:t>10 Customers Distribution based on Contract Length (Months)</w:t>
      </w:r>
    </w:p>
    <w:p w14:paraId="130B8F25">
      <w:pPr>
        <w:spacing w:after="0" w:line="360" w:lineRule="auto"/>
        <w:rPr>
          <w:rFonts w:ascii="Times New Roman" w:hAnsi="Times New Roman" w:eastAsia="Times New Roman" w:cs="Times New Roman"/>
          <w:color w:val="1F1F1F"/>
          <w:sz w:val="24"/>
          <w:szCs w:val="24"/>
        </w:rPr>
      </w:pPr>
    </w:p>
    <w:p w14:paraId="3D7F3391">
      <w:pPr>
        <w:spacing w:after="0" w:line="360" w:lineRule="auto"/>
        <w:rPr>
          <w:rFonts w:ascii="Times New Roman" w:hAnsi="Times New Roman" w:eastAsia="Times New Roman" w:cs="Times New Roman"/>
          <w:color w:val="1F1F1F"/>
          <w:sz w:val="24"/>
          <w:szCs w:val="24"/>
        </w:rPr>
      </w:pPr>
    </w:p>
    <w:p w14:paraId="53EA1332">
      <w:pPr>
        <w:spacing w:after="0" w:line="360" w:lineRule="auto"/>
        <w:jc w:val="center"/>
        <w:rPr>
          <w:rFonts w:ascii="Times New Roman" w:hAnsi="Times New Roman" w:cs="Times New Roman"/>
          <w:sz w:val="24"/>
          <w:szCs w:val="24"/>
        </w:rPr>
      </w:pPr>
      <w:r>
        <w:drawing>
          <wp:inline distT="0" distB="0" distL="0" distR="0">
            <wp:extent cx="5036820" cy="3409950"/>
            <wp:effectExtent l="0" t="0" r="0" b="0"/>
            <wp:docPr id="974327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27217"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045568" cy="3415461"/>
                    </a:xfrm>
                    <a:prstGeom prst="rect">
                      <a:avLst/>
                    </a:prstGeom>
                    <a:noFill/>
                    <a:ln>
                      <a:noFill/>
                    </a:ln>
                  </pic:spPr>
                </pic:pic>
              </a:graphicData>
            </a:graphic>
          </wp:inline>
        </w:drawing>
      </w:r>
    </w:p>
    <w:p w14:paraId="55EF56FB">
      <w:pPr>
        <w:pStyle w:val="5"/>
        <w:bidi w:val="0"/>
        <w:jc w:val="center"/>
      </w:pPr>
      <w:r>
        <w:t>Figure 4.</w:t>
      </w:r>
      <w:r>
        <w:rPr>
          <w:rFonts w:hint="default"/>
          <w:lang w:val="en-US"/>
        </w:rPr>
        <w:t>2.</w:t>
      </w:r>
      <w:r>
        <w:t>11 Customers Distribution based on Monthly Call Usage (Minutes)</w:t>
      </w:r>
    </w:p>
    <w:p w14:paraId="59E8B1A6">
      <w:pPr>
        <w:spacing w:after="0" w:line="360" w:lineRule="auto"/>
        <w:rPr>
          <w:rFonts w:ascii="Times New Roman" w:hAnsi="Times New Roman" w:cs="Times New Roman"/>
          <w:sz w:val="24"/>
          <w:szCs w:val="24"/>
        </w:rPr>
      </w:pPr>
    </w:p>
    <w:p w14:paraId="4EF41EAC">
      <w:pPr>
        <w:spacing w:after="0" w:line="360" w:lineRule="auto"/>
        <w:rPr>
          <w:rFonts w:ascii="Times New Roman" w:hAnsi="Times New Roman" w:cs="Times New Roman"/>
          <w:sz w:val="24"/>
          <w:szCs w:val="24"/>
        </w:rPr>
      </w:pPr>
    </w:p>
    <w:p w14:paraId="06497F82">
      <w:pPr>
        <w:spacing w:after="0" w:line="360" w:lineRule="auto"/>
        <w:jc w:val="center"/>
        <w:rPr>
          <w:rFonts w:ascii="Times New Roman" w:hAnsi="Times New Roman" w:cs="Times New Roman"/>
          <w:sz w:val="24"/>
          <w:szCs w:val="24"/>
        </w:rPr>
      </w:pPr>
      <w:r>
        <w:drawing>
          <wp:inline distT="0" distB="0" distL="0" distR="0">
            <wp:extent cx="4839970" cy="3276600"/>
            <wp:effectExtent l="0" t="0" r="0" b="0"/>
            <wp:docPr id="1260108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08563"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844694" cy="3279485"/>
                    </a:xfrm>
                    <a:prstGeom prst="rect">
                      <a:avLst/>
                    </a:prstGeom>
                    <a:noFill/>
                    <a:ln>
                      <a:noFill/>
                    </a:ln>
                  </pic:spPr>
                </pic:pic>
              </a:graphicData>
            </a:graphic>
          </wp:inline>
        </w:drawing>
      </w:r>
    </w:p>
    <w:p w14:paraId="4CAD5B98">
      <w:pPr>
        <w:pStyle w:val="5"/>
        <w:bidi w:val="0"/>
        <w:jc w:val="center"/>
      </w:pPr>
      <w:r>
        <w:t>Figure 4.</w:t>
      </w:r>
      <w:r>
        <w:rPr>
          <w:rFonts w:hint="default"/>
          <w:lang w:val="en-US"/>
        </w:rPr>
        <w:t>2.</w:t>
      </w:r>
      <w:r>
        <w:t>12 Customers Distribution based on Monthly Data Usage (GB)</w:t>
      </w:r>
    </w:p>
    <w:p w14:paraId="319FA6FE">
      <w:pPr>
        <w:spacing w:after="0" w:line="360" w:lineRule="auto"/>
        <w:rPr>
          <w:rFonts w:ascii="Times New Roman" w:hAnsi="Times New Roman" w:cs="Times New Roman"/>
          <w:sz w:val="24"/>
          <w:szCs w:val="24"/>
        </w:rPr>
      </w:pPr>
    </w:p>
    <w:p w14:paraId="54D630C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correlation heatmap in Figure 4</w:t>
      </w:r>
      <w:r>
        <w:rPr>
          <w:rFonts w:hint="default" w:ascii="Times New Roman" w:hAnsi="Times New Roman" w:cs="Times New Roman"/>
          <w:sz w:val="24"/>
          <w:szCs w:val="24"/>
          <w:lang w:val="en-US"/>
        </w:rPr>
        <w:t>.2</w:t>
      </w:r>
      <w:r>
        <w:rPr>
          <w:rFonts w:ascii="Times New Roman" w:hAnsi="Times New Roman" w:cs="Times New Roman"/>
          <w:sz w:val="24"/>
          <w:szCs w:val="24"/>
        </w:rPr>
        <w:t>.13 is used for feature engineering indicating important features for extraction and selection in the task of machine learning model building. Figure 4</w:t>
      </w:r>
      <w:r>
        <w:rPr>
          <w:rFonts w:hint="default" w:ascii="Times New Roman" w:hAnsi="Times New Roman" w:cs="Times New Roman"/>
          <w:sz w:val="24"/>
          <w:szCs w:val="24"/>
          <w:lang w:val="en-US"/>
        </w:rPr>
        <w:t>.2</w:t>
      </w:r>
      <w:r>
        <w:rPr>
          <w:rFonts w:ascii="Times New Roman" w:hAnsi="Times New Roman" w:cs="Times New Roman"/>
          <w:sz w:val="24"/>
          <w:szCs w:val="24"/>
        </w:rPr>
        <w:t>.13 shows the relationships between various numerical features in the telecommunications customer dataset, which can be used for churn prediction analysis. The following information can be extracted from this heatmap.</w:t>
      </w:r>
    </w:p>
    <w:p w14:paraId="3819CEE2">
      <w:pPr>
        <w:spacing w:after="0" w:line="360" w:lineRule="auto"/>
        <w:jc w:val="both"/>
        <w:rPr>
          <w:rFonts w:ascii="Times New Roman" w:hAnsi="Times New Roman" w:cs="Times New Roman"/>
          <w:sz w:val="24"/>
          <w:szCs w:val="24"/>
        </w:rPr>
      </w:pPr>
    </w:p>
    <w:p w14:paraId="51227B5C">
      <w:pPr>
        <w:pStyle w:val="37"/>
        <w:numPr>
          <w:ilvl w:val="1"/>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Age has very little correlation with any other features, indicating that it does not significantly influence monthly spending, contract length, or usage behavior.</w:t>
      </w:r>
    </w:p>
    <w:p w14:paraId="32E3484C">
      <w:pPr>
        <w:pStyle w:val="37"/>
        <w:numPr>
          <w:ilvl w:val="1"/>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Monthly Spending (NGN) is not strongly correlated with any of the other numerical features. This suggests that spending does not directly depend on contract length, call usage, or data usage, which might indicate different customer spending behaviors.</w:t>
      </w:r>
    </w:p>
    <w:p w14:paraId="54595736">
      <w:pPr>
        <w:pStyle w:val="37"/>
        <w:numPr>
          <w:ilvl w:val="1"/>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Contract Length (Months) has a near-zero correlation with other features, meaning that customers' contract durations do not strongly relate to their spending or usage.</w:t>
      </w:r>
    </w:p>
    <w:p w14:paraId="02739706">
      <w:pPr>
        <w:pStyle w:val="37"/>
        <w:numPr>
          <w:ilvl w:val="1"/>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Monthly Call Usage (Minutes) and Monthly Data Usage (GB) also show minimal correlation with other features. This means that customers' call and data usage patterns are independent of their age, contract length, and spending.</w:t>
      </w:r>
    </w:p>
    <w:p w14:paraId="277583F1">
      <w:pPr>
        <w:spacing w:after="0" w:line="360" w:lineRule="auto"/>
        <w:jc w:val="both"/>
        <w:rPr>
          <w:rFonts w:ascii="Times New Roman" w:hAnsi="Times New Roman" w:cs="Times New Roman"/>
          <w:sz w:val="24"/>
          <w:szCs w:val="24"/>
        </w:rPr>
      </w:pPr>
    </w:p>
    <w:p w14:paraId="6253885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Implications for Churn Prediction</w:t>
      </w:r>
    </w:p>
    <w:p w14:paraId="39A1A5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Since no strong correlations exist among these features, it suggests that churn may be influenced by other factors, such as customer service interactions, promotions, or external factors like competitor offerings.</w:t>
      </w:r>
    </w:p>
    <w:p w14:paraId="095624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Feature engineering was used to derive more meaningful variables that capture patterns related to churn.  Result shows that non-numerical features, like contract type (prepaid vs. postpaid), customer complaints, or satisfaction scores, play a larger role in predicting churn.</w:t>
      </w:r>
    </w:p>
    <w:p w14:paraId="48C4BF90">
      <w:pPr>
        <w:spacing w:after="0" w:line="360" w:lineRule="auto"/>
        <w:rPr>
          <w:rFonts w:ascii="Times New Roman" w:hAnsi="Times New Roman" w:cs="Times New Roman"/>
          <w:sz w:val="24"/>
          <w:szCs w:val="24"/>
        </w:rPr>
      </w:pPr>
    </w:p>
    <w:p w14:paraId="3EF5D3B3">
      <w:pPr>
        <w:spacing w:after="0" w:line="360" w:lineRule="auto"/>
        <w:jc w:val="center"/>
        <w:rPr>
          <w:rFonts w:ascii="Times New Roman" w:hAnsi="Times New Roman" w:cs="Times New Roman"/>
          <w:sz w:val="24"/>
          <w:szCs w:val="24"/>
        </w:rPr>
      </w:pPr>
      <w:r>
        <w:drawing>
          <wp:inline distT="0" distB="0" distL="0" distR="0">
            <wp:extent cx="5731510" cy="4344670"/>
            <wp:effectExtent l="0" t="0" r="2540" b="0"/>
            <wp:docPr id="1456787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8702"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1510" cy="4345170"/>
                    </a:xfrm>
                    <a:prstGeom prst="rect">
                      <a:avLst/>
                    </a:prstGeom>
                    <a:noFill/>
                    <a:ln>
                      <a:noFill/>
                    </a:ln>
                  </pic:spPr>
                </pic:pic>
              </a:graphicData>
            </a:graphic>
          </wp:inline>
        </w:drawing>
      </w:r>
    </w:p>
    <w:p w14:paraId="77C75271">
      <w:pPr>
        <w:pStyle w:val="5"/>
        <w:bidi w:val="0"/>
        <w:jc w:val="center"/>
      </w:pPr>
      <w:r>
        <w:t>Figure 4.</w:t>
      </w:r>
      <w:r>
        <w:rPr>
          <w:rFonts w:hint="default"/>
          <w:lang w:val="en-US"/>
        </w:rPr>
        <w:t>2.</w:t>
      </w:r>
      <w:r>
        <w:t>13 Correlation Heatmap</w:t>
      </w:r>
    </w:p>
    <w:p w14:paraId="34B29FC7">
      <w:pPr>
        <w:spacing w:after="0" w:line="360" w:lineRule="auto"/>
        <w:rPr>
          <w:rFonts w:ascii="Times New Roman" w:hAnsi="Times New Roman" w:cs="Times New Roman"/>
          <w:sz w:val="24"/>
          <w:szCs w:val="24"/>
        </w:rPr>
      </w:pPr>
    </w:p>
    <w:p w14:paraId="43A870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Figure 4.</w:t>
      </w:r>
      <w:r>
        <w:rPr>
          <w:rFonts w:hint="default" w:ascii="Times New Roman" w:hAnsi="Times New Roman" w:cs="Times New Roman"/>
          <w:sz w:val="24"/>
          <w:szCs w:val="24"/>
          <w:lang w:val="en-US"/>
        </w:rPr>
        <w:t>2.</w:t>
      </w:r>
      <w:r>
        <w:rPr>
          <w:rFonts w:ascii="Times New Roman" w:hAnsi="Times New Roman" w:cs="Times New Roman"/>
          <w:sz w:val="24"/>
          <w:szCs w:val="24"/>
        </w:rPr>
        <w:t>14 indicates the churn distribution of the customers while Figure 4.</w:t>
      </w:r>
      <w:r>
        <w:rPr>
          <w:rFonts w:hint="default" w:ascii="Times New Roman" w:hAnsi="Times New Roman" w:cs="Times New Roman"/>
          <w:sz w:val="24"/>
          <w:szCs w:val="24"/>
          <w:lang w:val="en-US"/>
        </w:rPr>
        <w:t>2.</w:t>
      </w:r>
      <w:r>
        <w:rPr>
          <w:rFonts w:ascii="Times New Roman" w:hAnsi="Times New Roman" w:cs="Times New Roman"/>
          <w:sz w:val="24"/>
          <w:szCs w:val="24"/>
        </w:rPr>
        <w:t>15 shows that churn rate by subscription type. Results indicate that more prepaid customers have the tendency to churn compared to postpaid customers.</w:t>
      </w:r>
    </w:p>
    <w:p w14:paraId="47E486D2">
      <w:pPr>
        <w:spacing w:after="0" w:line="360" w:lineRule="auto"/>
        <w:jc w:val="center"/>
        <w:rPr>
          <w:rFonts w:ascii="Times New Roman" w:hAnsi="Times New Roman" w:cs="Times New Roman"/>
          <w:sz w:val="24"/>
          <w:szCs w:val="24"/>
        </w:rPr>
      </w:pPr>
      <w:r>
        <w:drawing>
          <wp:inline distT="0" distB="0" distL="0" distR="0">
            <wp:extent cx="3968750" cy="2838450"/>
            <wp:effectExtent l="0" t="0" r="0" b="0"/>
            <wp:docPr id="506357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57516"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972542" cy="2840832"/>
                    </a:xfrm>
                    <a:prstGeom prst="rect">
                      <a:avLst/>
                    </a:prstGeom>
                    <a:noFill/>
                    <a:ln>
                      <a:noFill/>
                    </a:ln>
                  </pic:spPr>
                </pic:pic>
              </a:graphicData>
            </a:graphic>
          </wp:inline>
        </w:drawing>
      </w:r>
    </w:p>
    <w:p w14:paraId="2514FA83">
      <w:pPr>
        <w:pStyle w:val="5"/>
        <w:bidi w:val="0"/>
        <w:jc w:val="center"/>
      </w:pPr>
      <w:r>
        <w:t>Figure 4.</w:t>
      </w:r>
      <w:r>
        <w:rPr>
          <w:rFonts w:hint="default"/>
          <w:lang w:val="en-US"/>
        </w:rPr>
        <w:t>2.</w:t>
      </w:r>
      <w:r>
        <w:t>14 Churn Distribution of the Customers</w:t>
      </w:r>
    </w:p>
    <w:p w14:paraId="30DB2D5C">
      <w:pPr>
        <w:spacing w:after="0" w:line="360" w:lineRule="auto"/>
        <w:rPr>
          <w:rFonts w:ascii="Times New Roman" w:hAnsi="Times New Roman" w:cs="Times New Roman"/>
          <w:sz w:val="24"/>
          <w:szCs w:val="24"/>
        </w:rPr>
      </w:pPr>
    </w:p>
    <w:p w14:paraId="6367FDFB">
      <w:pPr>
        <w:spacing w:after="0" w:line="360" w:lineRule="auto"/>
        <w:jc w:val="center"/>
        <w:rPr>
          <w:rFonts w:ascii="Times New Roman" w:hAnsi="Times New Roman" w:cs="Times New Roman"/>
          <w:sz w:val="24"/>
          <w:szCs w:val="24"/>
        </w:rPr>
      </w:pPr>
      <w:r>
        <w:drawing>
          <wp:inline distT="0" distB="0" distL="0" distR="0">
            <wp:extent cx="4122420" cy="2752725"/>
            <wp:effectExtent l="0" t="0" r="0" b="0"/>
            <wp:docPr id="747118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181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128198" cy="2756543"/>
                    </a:xfrm>
                    <a:prstGeom prst="rect">
                      <a:avLst/>
                    </a:prstGeom>
                    <a:noFill/>
                    <a:ln>
                      <a:noFill/>
                    </a:ln>
                  </pic:spPr>
                </pic:pic>
              </a:graphicData>
            </a:graphic>
          </wp:inline>
        </w:drawing>
      </w:r>
    </w:p>
    <w:p w14:paraId="2787850A">
      <w:pPr>
        <w:pStyle w:val="5"/>
        <w:bidi w:val="0"/>
        <w:jc w:val="center"/>
      </w:pPr>
      <w:bookmarkStart w:id="51" w:name="_Toc183163362"/>
      <w:r>
        <w:t>Figure 4.</w:t>
      </w:r>
      <w:r>
        <w:rPr>
          <w:rFonts w:hint="default"/>
          <w:lang w:val="en-US"/>
        </w:rPr>
        <w:t>2.</w:t>
      </w:r>
      <w:r>
        <w:t xml:space="preserve">15 Churn </w:t>
      </w:r>
      <w:r>
        <w:rPr>
          <w:rFonts w:hint="default"/>
          <w:lang w:val="en-US"/>
        </w:rPr>
        <w:t>R</w:t>
      </w:r>
      <w:r>
        <w:t>ate of the Customers based on Subscription Type</w:t>
      </w:r>
    </w:p>
    <w:p w14:paraId="5F5DB592">
      <w:pPr>
        <w:spacing w:line="360" w:lineRule="auto"/>
      </w:pPr>
    </w:p>
    <w:p w14:paraId="3B9BB5E1">
      <w:pPr>
        <w:pStyle w:val="3"/>
        <w:spacing w:line="360" w:lineRule="auto"/>
      </w:pPr>
      <w:r>
        <w:t>4.3</w:t>
      </w:r>
      <w:r>
        <w:rPr>
          <w:rFonts w:hint="default"/>
          <w:lang w:val="en-US"/>
        </w:rPr>
        <w:tab/>
      </w:r>
      <w:r>
        <w:t>Machine Learning Model Performance on Churn Prediction</w:t>
      </w:r>
      <w:bookmarkEnd w:id="51"/>
      <w:r>
        <w:t xml:space="preserve"> </w:t>
      </w:r>
    </w:p>
    <w:p w14:paraId="5F9D5E57">
      <w:pPr>
        <w:spacing w:line="360" w:lineRule="auto"/>
        <w:jc w:val="both"/>
        <w:rPr>
          <w:rFonts w:hint="default" w:ascii="Times New Roman" w:hAnsi="Times New Roman" w:cs="Times New Roman"/>
          <w:color w:val="000000"/>
          <w:sz w:val="24"/>
          <w:szCs w:val="24"/>
          <w:lang w:val="en-US"/>
          <w14:textFill>
            <w14:solidFill>
              <w14:srgbClr w14:val="000000">
                <w14:alpha w14:val="4000"/>
              </w14:srgbClr>
            </w14:solidFill>
          </w14:textFill>
        </w:rPr>
      </w:pPr>
      <w:r>
        <w:rPr>
          <w:rFonts w:ascii="Times New Roman" w:hAnsi="Times New Roman" w:cs="Times New Roman"/>
          <w:color w:val="000000"/>
          <w:sz w:val="24"/>
          <w:szCs w:val="24"/>
          <w14:textFill>
            <w14:solidFill>
              <w14:srgbClr w14:val="000000">
                <w14:alpha w14:val="4000"/>
              </w14:srgbClr>
            </w14:solidFill>
          </w14:textFill>
        </w:rPr>
        <w:t>The Confusion matrices for each ML model is depicted in Figures 4.</w:t>
      </w:r>
      <w:r>
        <w:rPr>
          <w:rFonts w:hint="default" w:ascii="Times New Roman" w:hAnsi="Times New Roman" w:cs="Times New Roman"/>
          <w:color w:val="000000"/>
          <w:sz w:val="24"/>
          <w:szCs w:val="24"/>
          <w:lang w:val="en-US"/>
          <w14:textFill>
            <w14:solidFill>
              <w14:srgbClr w14:val="000000">
                <w14:alpha w14:val="4000"/>
              </w14:srgbClr>
            </w14:solidFill>
          </w14:textFill>
        </w:rPr>
        <w:t>3.</w:t>
      </w:r>
      <w:r>
        <w:rPr>
          <w:rFonts w:ascii="Times New Roman" w:hAnsi="Times New Roman" w:cs="Times New Roman"/>
          <w:color w:val="000000"/>
          <w:sz w:val="24"/>
          <w:szCs w:val="24"/>
          <w14:textFill>
            <w14:solidFill>
              <w14:srgbClr w14:val="000000">
                <w14:alpha w14:val="4000"/>
              </w14:srgbClr>
            </w14:solidFill>
          </w14:textFill>
        </w:rPr>
        <w:t>1</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 </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 </w:t>
      </w:r>
      <w:r>
        <w:rPr>
          <w:rFonts w:ascii="Times New Roman" w:hAnsi="Times New Roman" w:cs="Times New Roman"/>
          <w:color w:val="000000"/>
          <w:sz w:val="24"/>
          <w:szCs w:val="24"/>
          <w14:textFill>
            <w14:solidFill>
              <w14:srgbClr w14:val="000000">
                <w14:alpha w14:val="4000"/>
              </w14:srgbClr>
            </w14:solidFill>
          </w14:textFill>
        </w:rPr>
        <w:t>4</w:t>
      </w:r>
      <w:r>
        <w:rPr>
          <w:rFonts w:hint="default" w:ascii="Times New Roman" w:hAnsi="Times New Roman" w:cs="Times New Roman"/>
          <w:color w:val="000000"/>
          <w:sz w:val="24"/>
          <w:szCs w:val="24"/>
          <w:lang w:val="en-US"/>
          <w14:textFill>
            <w14:solidFill>
              <w14:srgbClr w14:val="000000">
                <w14:alpha w14:val="4000"/>
              </w14:srgbClr>
            </w14:solidFill>
          </w14:textFill>
        </w:rPr>
        <w:t>.3</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4</w:t>
      </w:r>
      <w:r>
        <w:rPr>
          <w:rFonts w:ascii="Times New Roman" w:hAnsi="Times New Roman" w:cs="Times New Roman"/>
          <w:color w:val="000000"/>
          <w:sz w:val="24"/>
          <w:szCs w:val="24"/>
          <w14:textFill>
            <w14:solidFill>
              <w14:srgbClr w14:val="000000">
                <w14:alpha w14:val="4000"/>
              </w14:srgbClr>
            </w14:solidFill>
          </w14:textFill>
        </w:rPr>
        <w:t xml:space="preserve"> for the TP, TN, FP, and FN values with a total of 1,383 data points.  The tabular results for diverse metrics including accuracy, recall, precision, and F1-score is presented in Tables 4.</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3.1 </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 </w:t>
      </w:r>
      <w:r>
        <w:rPr>
          <w:rFonts w:ascii="Times New Roman" w:hAnsi="Times New Roman" w:cs="Times New Roman"/>
          <w:color w:val="000000"/>
          <w:sz w:val="24"/>
          <w:szCs w:val="24"/>
          <w14:textFill>
            <w14:solidFill>
              <w14:srgbClr w14:val="000000">
                <w14:alpha w14:val="4000"/>
              </w14:srgbClr>
            </w14:solidFill>
          </w14:textFill>
        </w:rPr>
        <w:t>4.</w:t>
      </w:r>
      <w:r>
        <w:rPr>
          <w:rFonts w:hint="default" w:ascii="Times New Roman" w:hAnsi="Times New Roman" w:cs="Times New Roman"/>
          <w:color w:val="000000"/>
          <w:sz w:val="24"/>
          <w:szCs w:val="24"/>
          <w:lang w:val="en-US"/>
          <w14:textFill>
            <w14:solidFill>
              <w14:srgbClr w14:val="000000">
                <w14:alpha w14:val="4000"/>
              </w14:srgbClr>
            </w14:solidFill>
          </w14:textFill>
        </w:rPr>
        <w:t>3</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4</w:t>
      </w:r>
    </w:p>
    <w:p w14:paraId="3339152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Results indicate that DT achieved the following performance in predicting customer churn: accuracy (0.54), precision (0.55), recall (0.54) and F1-score (0.55). On the other hand, RF model achieved the following performance: accuracy (0.64), precision (0.55), recall (0.64) and F1-score (0.54). Similarly, XGBoost model achieved the following performance: accuracy (0.61), precision (0.57), recall (0.61) and f1-score (0.58) while SVM achieved the following performance: accuracy (0.65), precision (0.43), recall (0.65) and F1-score (0.52).</w:t>
      </w:r>
    </w:p>
    <w:p w14:paraId="2FEC97E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Based on the dataset used, results indicate that SVM outperformed the ML models with highest accuracy of 65%, followed by RF (64%), XGBoost (61%) while DT had the least accuracy value of (54%). On the other hand, DT and Rf had equal precision performance (55%), XGBoost had the highest precision (57%) while SVM had the least precision (43%). In terms of recall, SVM achieved the highest performance (65%), followed by RF (64%), XGBoost (61%) while Dt had the least recall value (54%).</w:t>
      </w:r>
    </w:p>
    <w:p w14:paraId="228CA854">
      <w:pPr>
        <w:spacing w:after="0" w:line="360" w:lineRule="auto"/>
        <w:jc w:val="both"/>
        <w:rPr>
          <w:rFonts w:ascii="Courier New" w:hAnsi="Courier New" w:eastAsia="Times New Roman" w:cs="Courier New"/>
          <w:color w:val="1F1F1F"/>
          <w:sz w:val="20"/>
          <w:szCs w:val="20"/>
        </w:rPr>
      </w:pPr>
      <w:r>
        <w:rPr>
          <w:rFonts w:ascii="Times New Roman" w:hAnsi="Times New Roman" w:cs="Times New Roman"/>
          <w:sz w:val="24"/>
          <w:szCs w:val="24"/>
        </w:rPr>
        <w:t xml:space="preserve">It can be deduced from the comparative performance plot of the ML models in </w:t>
      </w:r>
      <w:r>
        <w:rPr>
          <w:rFonts w:hint="default" w:ascii="Times New Roman" w:hAnsi="Times New Roman" w:cs="Times New Roman"/>
          <w:sz w:val="24"/>
          <w:szCs w:val="24"/>
          <w:lang w:val="en-US"/>
        </w:rPr>
        <w:t>F</w:t>
      </w:r>
      <w:r>
        <w:rPr>
          <w:rFonts w:ascii="Times New Roman" w:hAnsi="Times New Roman" w:cs="Times New Roman"/>
          <w:sz w:val="24"/>
          <w:szCs w:val="24"/>
        </w:rPr>
        <w:t>igure 4.</w:t>
      </w:r>
      <w:r>
        <w:rPr>
          <w:rFonts w:hint="default" w:ascii="Times New Roman" w:hAnsi="Times New Roman" w:cs="Times New Roman"/>
          <w:sz w:val="24"/>
          <w:szCs w:val="24"/>
          <w:lang w:val="en-US"/>
        </w:rPr>
        <w:t>3.5</w:t>
      </w:r>
      <w:r>
        <w:rPr>
          <w:rFonts w:ascii="Times New Roman" w:hAnsi="Times New Roman" w:cs="Times New Roman"/>
          <w:sz w:val="24"/>
          <w:szCs w:val="24"/>
        </w:rPr>
        <w:t xml:space="preserve"> that, based on accuracy and recall, the best model for predicting customer churn behaviour is SVM followed by RF. It therefore indicates that SVM is a powerful classification algorithm with capability to find the optimal hyperplane separating different classes in the feature space. Also, RF as an ensembled method proved its ability to combine multiple decision trees to improve predictive accuracy and reduce overfitting.</w:t>
      </w:r>
    </w:p>
    <w:p w14:paraId="09225A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05F52056">
      <w:pPr>
        <w:spacing w:after="0" w:line="360" w:lineRule="auto"/>
        <w:jc w:val="center"/>
        <w:rPr>
          <w:rFonts w:ascii="Times New Roman" w:hAnsi="Times New Roman" w:cs="Times New Roman"/>
          <w:sz w:val="24"/>
          <w:szCs w:val="24"/>
        </w:rPr>
      </w:pPr>
      <w:r>
        <w:rPr>
          <w:rFonts w:ascii="Roboto" w:hAnsi="Roboto" w:eastAsia="Times New Roman" w:cs="Times New Roman"/>
          <w:color w:val="1F1F1F"/>
          <w:sz w:val="21"/>
          <w:szCs w:val="21"/>
        </w:rPr>
        <w:drawing>
          <wp:inline distT="0" distB="0" distL="0" distR="0">
            <wp:extent cx="3790950" cy="3475990"/>
            <wp:effectExtent l="0" t="0" r="0" b="0"/>
            <wp:docPr id="7652103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1036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796086" cy="3480945"/>
                    </a:xfrm>
                    <a:prstGeom prst="rect">
                      <a:avLst/>
                    </a:prstGeom>
                    <a:noFill/>
                    <a:ln>
                      <a:noFill/>
                    </a:ln>
                  </pic:spPr>
                </pic:pic>
              </a:graphicData>
            </a:graphic>
          </wp:inline>
        </w:drawing>
      </w:r>
    </w:p>
    <w:bookmarkEnd w:id="50"/>
    <w:p w14:paraId="27E630F3">
      <w:pPr>
        <w:pStyle w:val="5"/>
        <w:bidi w:val="0"/>
        <w:jc w:val="center"/>
      </w:pPr>
      <w:r>
        <w:t>Figure 4.</w:t>
      </w:r>
      <w:r>
        <w:rPr>
          <w:rFonts w:hint="default"/>
          <w:lang w:val="en-US"/>
        </w:rPr>
        <w:t>3.1</w:t>
      </w:r>
      <w:r>
        <w:t xml:space="preserve"> Confusion Matrix for DT</w:t>
      </w:r>
    </w:p>
    <w:p w14:paraId="77EA3513"/>
    <w:p w14:paraId="601581C3">
      <w:pPr>
        <w:pStyle w:val="5"/>
        <w:bidi w:val="0"/>
        <w:jc w:val="center"/>
        <w:rPr>
          <w:rFonts w:ascii="Times New Roman" w:hAnsi="Times New Roman" w:cs="Times New Roman"/>
          <w:sz w:val="24"/>
          <w:szCs w:val="24"/>
        </w:rPr>
      </w:pPr>
      <w:r>
        <w:t>Table 4.</w:t>
      </w:r>
      <w:r>
        <w:rPr>
          <w:rFonts w:hint="default"/>
          <w:lang w:val="en-US"/>
        </w:rPr>
        <w:t>3.1</w:t>
      </w:r>
      <w:r>
        <w:t xml:space="preserve"> Performance Evaluation Report </w:t>
      </w:r>
      <w:r>
        <w:rPr>
          <w:rFonts w:hint="default"/>
          <w:lang w:val="en-US"/>
        </w:rPr>
        <w:t>for</w:t>
      </w:r>
      <w:r>
        <w:t xml:space="preserve"> DT Model</w:t>
      </w:r>
    </w:p>
    <w:p w14:paraId="391F3AC3">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precision    recall  f1-score   support</w:t>
      </w:r>
    </w:p>
    <w:p w14:paraId="47EA3B81">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7FF99D8D">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0       0.66      0.64      0.65       903</w:t>
      </w:r>
    </w:p>
    <w:p w14:paraId="261E1453">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1       0.35      0.37      0.36       480</w:t>
      </w:r>
    </w:p>
    <w:p w14:paraId="6AFE6F6B">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3E054FB6">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0.54      1383</w:t>
      </w:r>
    </w:p>
    <w:p w14:paraId="6CCFCC0F">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0.50      0.50      0.50      1383</w:t>
      </w:r>
    </w:p>
    <w:p w14:paraId="7AD45E92">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0.55      0.54      0.55      1383</w:t>
      </w:r>
    </w:p>
    <w:p w14:paraId="403D0272">
      <w:pPr>
        <w:spacing w:after="0" w:line="360" w:lineRule="auto"/>
        <w:jc w:val="both"/>
        <w:rPr>
          <w:rFonts w:ascii="Times New Roman" w:hAnsi="Times New Roman" w:cs="Times New Roman"/>
          <w:b/>
          <w:bCs/>
          <w:sz w:val="24"/>
          <w:szCs w:val="24"/>
        </w:rPr>
      </w:pPr>
    </w:p>
    <w:p w14:paraId="7F93AF8B">
      <w:pPr>
        <w:spacing w:after="0" w:line="360" w:lineRule="auto"/>
        <w:jc w:val="both"/>
        <w:rPr>
          <w:rFonts w:ascii="Times New Roman" w:hAnsi="Times New Roman" w:cs="Times New Roman"/>
          <w:b/>
          <w:bCs/>
          <w:sz w:val="24"/>
          <w:szCs w:val="24"/>
        </w:rPr>
      </w:pPr>
    </w:p>
    <w:p w14:paraId="5FC2696C">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4048125" cy="3711575"/>
            <wp:effectExtent l="0" t="0" r="0" b="3175"/>
            <wp:docPr id="20394771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77115"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54676" cy="3718067"/>
                    </a:xfrm>
                    <a:prstGeom prst="rect">
                      <a:avLst/>
                    </a:prstGeom>
                    <a:noFill/>
                    <a:ln>
                      <a:noFill/>
                    </a:ln>
                  </pic:spPr>
                </pic:pic>
              </a:graphicData>
            </a:graphic>
          </wp:inline>
        </w:drawing>
      </w:r>
    </w:p>
    <w:p w14:paraId="40532CE0">
      <w:pPr>
        <w:pStyle w:val="5"/>
        <w:bidi w:val="0"/>
        <w:jc w:val="center"/>
      </w:pPr>
      <w:r>
        <w:t>Figure 4.</w:t>
      </w:r>
      <w:r>
        <w:rPr>
          <w:rFonts w:hint="default"/>
          <w:lang w:val="en-US"/>
        </w:rPr>
        <w:t>3.2</w:t>
      </w:r>
      <w:r>
        <w:t xml:space="preserve"> Confusion Matrix for RF</w:t>
      </w:r>
    </w:p>
    <w:p w14:paraId="7C0B53AC">
      <w:pPr>
        <w:rPr>
          <w:rFonts w:hint="default"/>
          <w:lang w:val="en-US"/>
        </w:rPr>
      </w:pPr>
    </w:p>
    <w:p w14:paraId="51ED62A5">
      <w:pPr>
        <w:pStyle w:val="5"/>
        <w:bidi w:val="0"/>
        <w:jc w:val="center"/>
      </w:pPr>
      <w:r>
        <w:t>Table 4.</w:t>
      </w:r>
      <w:r>
        <w:rPr>
          <w:rFonts w:hint="default"/>
          <w:lang w:val="en-US"/>
        </w:rPr>
        <w:t>3.2</w:t>
      </w:r>
      <w:r>
        <w:t xml:space="preserve"> Performance Evaluation Report </w:t>
      </w:r>
      <w:r>
        <w:rPr>
          <w:rFonts w:hint="default"/>
          <w:lang w:val="en-US"/>
        </w:rPr>
        <w:t>for</w:t>
      </w:r>
      <w:r>
        <w:t xml:space="preserve"> RF Model</w:t>
      </w:r>
    </w:p>
    <w:p w14:paraId="1AEE228B">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precision    recall  f1-score   support</w:t>
      </w:r>
    </w:p>
    <w:p w14:paraId="3CAFF6BA">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45991B4E">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0       0.65      0.95      0.78       903</w:t>
      </w:r>
    </w:p>
    <w:p w14:paraId="1DB96218">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1       0.36      0.05      0.09       480</w:t>
      </w:r>
    </w:p>
    <w:p w14:paraId="6BF4F5A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2F800332">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0.64      1383</w:t>
      </w:r>
    </w:p>
    <w:p w14:paraId="5D07699B">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0.51      0.50      0.43      1383</w:t>
      </w:r>
    </w:p>
    <w:p w14:paraId="006B545A">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0.55      0.64      0.54      1383</w:t>
      </w:r>
    </w:p>
    <w:p w14:paraId="308FA988">
      <w:pPr>
        <w:spacing w:after="0" w:line="360" w:lineRule="auto"/>
        <w:jc w:val="both"/>
        <w:rPr>
          <w:rFonts w:ascii="Times New Roman" w:hAnsi="Times New Roman" w:cs="Times New Roman"/>
          <w:b/>
          <w:bCs/>
          <w:sz w:val="24"/>
          <w:szCs w:val="24"/>
        </w:rPr>
      </w:pPr>
    </w:p>
    <w:p w14:paraId="1267A006">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4143375" cy="3799205"/>
            <wp:effectExtent l="0" t="0" r="0" b="0"/>
            <wp:docPr id="12355296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9673"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148431" cy="3804038"/>
                    </a:xfrm>
                    <a:prstGeom prst="rect">
                      <a:avLst/>
                    </a:prstGeom>
                    <a:noFill/>
                    <a:ln>
                      <a:noFill/>
                    </a:ln>
                  </pic:spPr>
                </pic:pic>
              </a:graphicData>
            </a:graphic>
          </wp:inline>
        </w:drawing>
      </w:r>
    </w:p>
    <w:p w14:paraId="4B66DFD1">
      <w:pPr>
        <w:pStyle w:val="5"/>
        <w:bidi w:val="0"/>
        <w:jc w:val="center"/>
      </w:pPr>
      <w:r>
        <w:t>Figure 4.</w:t>
      </w:r>
      <w:r>
        <w:rPr>
          <w:rFonts w:hint="default"/>
          <w:lang w:val="en-US"/>
        </w:rPr>
        <w:t>3.3</w:t>
      </w:r>
      <w:r>
        <w:t xml:space="preserve"> Confusion Matrix for XGBoost</w:t>
      </w:r>
    </w:p>
    <w:p w14:paraId="477123F4">
      <w:pPr>
        <w:spacing w:after="0" w:line="360" w:lineRule="auto"/>
        <w:jc w:val="both"/>
        <w:rPr>
          <w:rFonts w:ascii="Times New Roman" w:hAnsi="Times New Roman" w:cs="Times New Roman"/>
          <w:b/>
          <w:bCs/>
          <w:sz w:val="24"/>
          <w:szCs w:val="24"/>
        </w:rPr>
      </w:pPr>
    </w:p>
    <w:p w14:paraId="44A52270">
      <w:pPr>
        <w:pStyle w:val="5"/>
        <w:bidi w:val="0"/>
        <w:jc w:val="center"/>
      </w:pPr>
      <w:r>
        <w:t>Table 4.</w:t>
      </w:r>
      <w:r>
        <w:rPr>
          <w:rFonts w:hint="default"/>
          <w:lang w:val="en-US"/>
        </w:rPr>
        <w:t>3.3</w:t>
      </w:r>
      <w:r>
        <w:t xml:space="preserve"> Performance Evaluation Report for XGBoost Model</w:t>
      </w:r>
    </w:p>
    <w:p w14:paraId="0E270C3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precision    recall  f1-score   support</w:t>
      </w:r>
    </w:p>
    <w:p w14:paraId="0B0B5DB0">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4E15F10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0       0.66      0.80      0.73       903</w:t>
      </w:r>
    </w:p>
    <w:p w14:paraId="3ACC1C9E">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1       0.39      0.24      0.30       480</w:t>
      </w:r>
    </w:p>
    <w:p w14:paraId="43729E08">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1F25816F">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0.61      1383</w:t>
      </w:r>
    </w:p>
    <w:p w14:paraId="7CE341B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0.53      0.52      0.51      1383</w:t>
      </w:r>
    </w:p>
    <w:p w14:paraId="355CBA69">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0.57      0.61      0.58      1383</w:t>
      </w:r>
    </w:p>
    <w:p w14:paraId="41681926">
      <w:pPr>
        <w:spacing w:after="0" w:line="360" w:lineRule="auto"/>
        <w:jc w:val="both"/>
        <w:rPr>
          <w:rFonts w:ascii="Times New Roman" w:hAnsi="Times New Roman" w:cs="Times New Roman"/>
          <w:b/>
          <w:bCs/>
          <w:sz w:val="24"/>
          <w:szCs w:val="24"/>
        </w:rPr>
      </w:pPr>
    </w:p>
    <w:p w14:paraId="519999D3">
      <w:pPr>
        <w:spacing w:after="0" w:line="360" w:lineRule="auto"/>
        <w:jc w:val="both"/>
        <w:rPr>
          <w:rFonts w:ascii="Times New Roman" w:hAnsi="Times New Roman" w:cs="Times New Roman"/>
          <w:b/>
          <w:bCs/>
          <w:sz w:val="24"/>
          <w:szCs w:val="24"/>
        </w:rPr>
      </w:pPr>
    </w:p>
    <w:p w14:paraId="0CAF1763">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4067175" cy="3729355"/>
            <wp:effectExtent l="0" t="0" r="0" b="4445"/>
            <wp:docPr id="5339442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44266"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075287" cy="3736967"/>
                    </a:xfrm>
                    <a:prstGeom prst="rect">
                      <a:avLst/>
                    </a:prstGeom>
                    <a:noFill/>
                    <a:ln>
                      <a:noFill/>
                    </a:ln>
                  </pic:spPr>
                </pic:pic>
              </a:graphicData>
            </a:graphic>
          </wp:inline>
        </w:drawing>
      </w:r>
    </w:p>
    <w:p w14:paraId="3420DB60">
      <w:pPr>
        <w:pStyle w:val="5"/>
        <w:bidi w:val="0"/>
        <w:jc w:val="center"/>
      </w:pPr>
      <w:r>
        <w:t>Figure 4.</w:t>
      </w:r>
      <w:r>
        <w:rPr>
          <w:rFonts w:hint="default"/>
          <w:lang w:val="en-US"/>
        </w:rPr>
        <w:t>3.4</w:t>
      </w:r>
      <w:r>
        <w:t xml:space="preserve"> Confusion Matrix for SVM</w:t>
      </w:r>
    </w:p>
    <w:p w14:paraId="6B8CC45E">
      <w:pPr>
        <w:spacing w:after="0" w:line="360" w:lineRule="auto"/>
        <w:jc w:val="both"/>
        <w:rPr>
          <w:rFonts w:ascii="Times New Roman" w:hAnsi="Times New Roman" w:cs="Times New Roman"/>
          <w:b/>
          <w:bCs/>
          <w:sz w:val="24"/>
          <w:szCs w:val="24"/>
        </w:rPr>
      </w:pPr>
    </w:p>
    <w:p w14:paraId="125649D4">
      <w:pPr>
        <w:pStyle w:val="5"/>
        <w:bidi w:val="0"/>
        <w:jc w:val="center"/>
      </w:pPr>
      <w:r>
        <w:t>Table 4.</w:t>
      </w:r>
      <w:r>
        <w:rPr>
          <w:rFonts w:hint="default"/>
          <w:lang w:val="en-US"/>
        </w:rPr>
        <w:t>3.4</w:t>
      </w:r>
      <w:r>
        <w:t xml:space="preserve"> Performance Evaluation Report for SVM Model</w:t>
      </w:r>
    </w:p>
    <w:p w14:paraId="135B1147">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precision    recall  f1-score   support</w:t>
      </w:r>
    </w:p>
    <w:p w14:paraId="27B27A4E">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050ACDF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0       0.65      1.00      0.79       903</w:t>
      </w:r>
    </w:p>
    <w:p w14:paraId="0A8B5498">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1       0.00      0.00      0.00       480</w:t>
      </w:r>
    </w:p>
    <w:p w14:paraId="1E390DFB">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0DDA29F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0.65      1383</w:t>
      </w:r>
    </w:p>
    <w:p w14:paraId="0588525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0.33      0.50      0.40      1383</w:t>
      </w:r>
    </w:p>
    <w:p w14:paraId="59CB2E7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0.43      0.65      0.52      1383</w:t>
      </w:r>
    </w:p>
    <w:p w14:paraId="62C17B4B">
      <w:pPr>
        <w:spacing w:after="0" w:line="360" w:lineRule="auto"/>
        <w:jc w:val="both"/>
        <w:rPr>
          <w:rFonts w:ascii="Times New Roman" w:hAnsi="Times New Roman" w:cs="Times New Roman"/>
          <w:b/>
          <w:bCs/>
          <w:sz w:val="24"/>
          <w:szCs w:val="24"/>
        </w:rPr>
      </w:pPr>
    </w:p>
    <w:p w14:paraId="33A3C8B5">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5731510" cy="4180840"/>
            <wp:effectExtent l="0" t="0" r="2540" b="0"/>
            <wp:docPr id="10526627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62798"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31510" cy="4181063"/>
                    </a:xfrm>
                    <a:prstGeom prst="rect">
                      <a:avLst/>
                    </a:prstGeom>
                    <a:noFill/>
                    <a:ln>
                      <a:noFill/>
                    </a:ln>
                  </pic:spPr>
                </pic:pic>
              </a:graphicData>
            </a:graphic>
          </wp:inline>
        </w:drawing>
      </w:r>
    </w:p>
    <w:p w14:paraId="2D57A724">
      <w:pPr>
        <w:pStyle w:val="5"/>
        <w:bidi w:val="0"/>
        <w:jc w:val="center"/>
      </w:pPr>
      <w:r>
        <w:t>Figure 4.</w:t>
      </w:r>
      <w:r>
        <w:rPr>
          <w:rFonts w:hint="default"/>
          <w:lang w:val="en-US"/>
        </w:rPr>
        <w:t>3.5</w:t>
      </w:r>
      <w:r>
        <w:t xml:space="preserve"> Comparative Performance of the ML Models</w:t>
      </w:r>
      <w:bookmarkStart w:id="52" w:name="_Toc183163364"/>
    </w:p>
    <w:p w14:paraId="16B3CC53">
      <w:pPr>
        <w:spacing w:after="0" w:line="360" w:lineRule="auto"/>
        <w:jc w:val="both"/>
        <w:rPr>
          <w:rFonts w:ascii="Times New Roman" w:hAnsi="Times New Roman" w:cs="Times New Roman"/>
          <w:b/>
          <w:bCs/>
          <w:sz w:val="24"/>
          <w:szCs w:val="24"/>
        </w:rPr>
      </w:pPr>
    </w:p>
    <w:p w14:paraId="0AB24121">
      <w:pPr>
        <w:spacing w:after="0" w:line="360" w:lineRule="auto"/>
        <w:jc w:val="both"/>
        <w:rPr>
          <w:rFonts w:ascii="Times New Roman" w:hAnsi="Times New Roman" w:cs="Times New Roman"/>
          <w:b/>
          <w:bCs/>
          <w:sz w:val="24"/>
          <w:szCs w:val="24"/>
        </w:rPr>
      </w:pPr>
    </w:p>
    <w:p w14:paraId="73795292">
      <w:pPr>
        <w:spacing w:after="0" w:line="360" w:lineRule="auto"/>
        <w:jc w:val="both"/>
        <w:rPr>
          <w:rFonts w:ascii="Times New Roman" w:hAnsi="Times New Roman" w:cs="Times New Roman"/>
          <w:b/>
          <w:bCs/>
          <w:sz w:val="24"/>
          <w:szCs w:val="24"/>
        </w:rPr>
      </w:pPr>
    </w:p>
    <w:p w14:paraId="1061A51A">
      <w:pPr>
        <w:spacing w:after="0" w:line="360" w:lineRule="auto"/>
        <w:jc w:val="both"/>
        <w:rPr>
          <w:rFonts w:ascii="Times New Roman" w:hAnsi="Times New Roman" w:cs="Times New Roman"/>
          <w:b/>
          <w:bCs/>
          <w:sz w:val="24"/>
          <w:szCs w:val="24"/>
        </w:rPr>
      </w:pPr>
    </w:p>
    <w:p w14:paraId="0D0785E1">
      <w:pPr>
        <w:spacing w:after="0" w:line="360" w:lineRule="auto"/>
        <w:jc w:val="both"/>
        <w:rPr>
          <w:rFonts w:ascii="Times New Roman" w:hAnsi="Times New Roman" w:cs="Times New Roman"/>
          <w:b/>
          <w:bCs/>
          <w:sz w:val="24"/>
          <w:szCs w:val="24"/>
        </w:rPr>
      </w:pPr>
    </w:p>
    <w:p w14:paraId="74A7BB63">
      <w:pPr>
        <w:spacing w:after="0" w:line="360" w:lineRule="auto"/>
        <w:jc w:val="both"/>
        <w:rPr>
          <w:rFonts w:ascii="Times New Roman" w:hAnsi="Times New Roman" w:cs="Times New Roman"/>
          <w:b/>
          <w:bCs/>
          <w:sz w:val="24"/>
          <w:szCs w:val="24"/>
        </w:rPr>
      </w:pPr>
    </w:p>
    <w:p w14:paraId="61CCBD13">
      <w:pPr>
        <w:spacing w:after="0" w:line="360" w:lineRule="auto"/>
        <w:jc w:val="both"/>
        <w:rPr>
          <w:rFonts w:ascii="Times New Roman" w:hAnsi="Times New Roman" w:cs="Times New Roman"/>
          <w:b/>
          <w:bCs/>
          <w:sz w:val="24"/>
          <w:szCs w:val="24"/>
        </w:rPr>
      </w:pPr>
    </w:p>
    <w:p w14:paraId="067E6257">
      <w:pPr>
        <w:spacing w:after="0" w:line="360" w:lineRule="auto"/>
        <w:jc w:val="both"/>
        <w:rPr>
          <w:rFonts w:ascii="Times New Roman" w:hAnsi="Times New Roman" w:cs="Times New Roman"/>
          <w:b/>
          <w:bCs/>
          <w:sz w:val="24"/>
          <w:szCs w:val="24"/>
        </w:rPr>
      </w:pPr>
    </w:p>
    <w:p w14:paraId="398F4E51">
      <w:pPr>
        <w:spacing w:after="0" w:line="360" w:lineRule="auto"/>
        <w:jc w:val="both"/>
        <w:rPr>
          <w:rFonts w:ascii="Times New Roman" w:hAnsi="Times New Roman" w:cs="Times New Roman"/>
          <w:b/>
          <w:bCs/>
          <w:sz w:val="24"/>
          <w:szCs w:val="24"/>
        </w:rPr>
      </w:pPr>
    </w:p>
    <w:p w14:paraId="49BC416E">
      <w:pPr>
        <w:spacing w:after="0" w:line="360" w:lineRule="auto"/>
        <w:jc w:val="both"/>
        <w:rPr>
          <w:rFonts w:ascii="Times New Roman" w:hAnsi="Times New Roman" w:cs="Times New Roman"/>
          <w:b/>
          <w:bCs/>
          <w:sz w:val="24"/>
          <w:szCs w:val="24"/>
        </w:rPr>
      </w:pPr>
    </w:p>
    <w:p w14:paraId="56270827">
      <w:pPr>
        <w:spacing w:after="0" w:line="360" w:lineRule="auto"/>
        <w:jc w:val="both"/>
        <w:rPr>
          <w:rFonts w:ascii="Times New Roman" w:hAnsi="Times New Roman" w:cs="Times New Roman"/>
          <w:b/>
          <w:bCs/>
          <w:sz w:val="24"/>
          <w:szCs w:val="24"/>
        </w:rPr>
      </w:pPr>
    </w:p>
    <w:p w14:paraId="3270AF4A">
      <w:pPr>
        <w:spacing w:after="0" w:line="360" w:lineRule="auto"/>
        <w:jc w:val="both"/>
        <w:rPr>
          <w:rFonts w:ascii="Times New Roman" w:hAnsi="Times New Roman" w:cs="Times New Roman"/>
          <w:b/>
          <w:bCs/>
          <w:sz w:val="24"/>
          <w:szCs w:val="24"/>
        </w:rPr>
      </w:pPr>
    </w:p>
    <w:p w14:paraId="29A115B2">
      <w:pPr>
        <w:spacing w:after="0" w:line="360" w:lineRule="auto"/>
        <w:jc w:val="center"/>
        <w:rPr>
          <w:rFonts w:ascii="Times New Roman" w:hAnsi="Times New Roman" w:cs="Times New Roman"/>
          <w:sz w:val="24"/>
          <w:szCs w:val="24"/>
        </w:rPr>
      </w:pPr>
    </w:p>
    <w:p w14:paraId="52607FF3">
      <w:pPr>
        <w:spacing w:after="0" w:line="360" w:lineRule="auto"/>
        <w:jc w:val="center"/>
        <w:rPr>
          <w:rFonts w:ascii="Times New Roman" w:hAnsi="Times New Roman" w:cs="Times New Roman"/>
          <w:sz w:val="24"/>
          <w:szCs w:val="24"/>
        </w:rPr>
      </w:pPr>
    </w:p>
    <w:p w14:paraId="28016BAC">
      <w:pPr>
        <w:pStyle w:val="2"/>
        <w:bidi w:val="0"/>
      </w:pPr>
      <w:r>
        <w:t>CHAPTER FIVE</w:t>
      </w:r>
      <w:bookmarkEnd w:id="52"/>
    </w:p>
    <w:p w14:paraId="598C6B64">
      <w:pPr>
        <w:pStyle w:val="2"/>
        <w:bidi w:val="0"/>
        <w:rPr>
          <w:rFonts w:ascii="Times New Roman" w:hAnsi="Times New Roman" w:cs="Times New Roman"/>
          <w:szCs w:val="24"/>
        </w:rPr>
      </w:pPr>
      <w:bookmarkStart w:id="53" w:name="_Toc183163365"/>
      <w:r>
        <w:t>SUMMARY, RECOMMENDATIONS</w:t>
      </w:r>
      <w:bookmarkEnd w:id="53"/>
      <w:r>
        <w:t xml:space="preserve"> AND CONCLUSION</w:t>
      </w:r>
    </w:p>
    <w:p w14:paraId="7B00C739">
      <w:pPr>
        <w:pStyle w:val="3"/>
        <w:spacing w:line="360" w:lineRule="auto"/>
        <w:rPr>
          <w:rFonts w:hint="default"/>
          <w:lang w:val="en-US"/>
        </w:rPr>
      </w:pPr>
      <w:bookmarkStart w:id="54" w:name="_Toc183163366"/>
      <w:r>
        <w:t>5.</w:t>
      </w:r>
      <w:r>
        <w:rPr>
          <w:rFonts w:hint="default"/>
          <w:lang w:val="en-US"/>
        </w:rPr>
        <w:t>1</w:t>
      </w:r>
      <w:bookmarkEnd w:id="54"/>
      <w:r>
        <w:rPr>
          <w:rFonts w:hint="default"/>
          <w:lang w:val="en-US"/>
        </w:rPr>
        <w:tab/>
      </w:r>
      <w:r>
        <w:rPr>
          <w:rFonts w:hint="default"/>
          <w:lang w:val="en-US"/>
        </w:rPr>
        <w:t>Summary</w:t>
      </w:r>
    </w:p>
    <w:p w14:paraId="67E7C52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chapter provides a summary of the key findings, conclusions, and recommendations drawn from the study on customer churn in the Nigerian telecommunications sector, with a particular focus on MTN and Airtel. The aim was to identify the primary factors contributing to customer churn, evaluate the performance of various machine learning models for churn prediction, and compare the effectiveness of these models. The findings and conclusions presented in this chapter will provide a foundation for developing strategies to reduce churn and enhance customer retention in the telecommunications industry.</w:t>
      </w:r>
    </w:p>
    <w:p w14:paraId="2E95B371">
      <w:pPr>
        <w:spacing w:after="0" w:line="360" w:lineRule="auto"/>
        <w:jc w:val="both"/>
        <w:rPr>
          <w:rFonts w:ascii="Times New Roman" w:hAnsi="Times New Roman" w:cs="Times New Roman"/>
          <w:sz w:val="24"/>
          <w:szCs w:val="24"/>
        </w:rPr>
      </w:pPr>
    </w:p>
    <w:p w14:paraId="3C05BE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analysis carried out in Chapter Four highlighted several important factors and insights:</w:t>
      </w:r>
    </w:p>
    <w:p w14:paraId="435DAD9F">
      <w:pPr>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Key Factors Influencing Customer Churn</w:t>
      </w:r>
      <w:r>
        <w:rPr>
          <w:rFonts w:ascii="Times New Roman" w:hAnsi="Times New Roman" w:cs="Times New Roman"/>
          <w:sz w:val="24"/>
          <w:szCs w:val="24"/>
        </w:rPr>
        <w:t>:</w:t>
      </w:r>
    </w:p>
    <w:p w14:paraId="7BDA8E7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study identified several factors that significantly influence customer churn, including service quality, network coverage, customer service, billing issues, and offers and promotions. Among these, poor service quality and network coverage issues were the most frequently cited reasons for customers switching providers.</w:t>
      </w:r>
    </w:p>
    <w:p w14:paraId="0A98660B">
      <w:pPr>
        <w:pStyle w:val="37"/>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Evaluation of Machine Learning Models</w:t>
      </w:r>
      <w:r>
        <w:rPr>
          <w:rFonts w:ascii="Times New Roman" w:hAnsi="Times New Roman" w:cs="Times New Roman"/>
          <w:sz w:val="24"/>
          <w:szCs w:val="24"/>
        </w:rPr>
        <w:t>:</w:t>
      </w:r>
    </w:p>
    <w:p w14:paraId="138F5C6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study evaluated multiple machine learning models—Decision Tree, Random Forest, Support Vector Machine (SVM), and Extreme Gradient Boosting (XGBoost)—to predict customer churn in telecommunications industry. The SVM model outperformed all others in terms of accuracy (0.65) and recall(0.65), making it the most effective tool for predicting churn.</w:t>
      </w:r>
    </w:p>
    <w:p w14:paraId="7DD7F1C4">
      <w:pPr>
        <w:spacing w:after="0" w:line="360" w:lineRule="auto"/>
        <w:jc w:val="both"/>
        <w:rPr>
          <w:rFonts w:ascii="Times New Roman" w:hAnsi="Times New Roman" w:cs="Times New Roman"/>
          <w:sz w:val="24"/>
          <w:szCs w:val="24"/>
        </w:rPr>
      </w:pPr>
    </w:p>
    <w:p w14:paraId="6062E80F">
      <w:pPr>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Model Comparison</w:t>
      </w:r>
      <w:r>
        <w:rPr>
          <w:rFonts w:ascii="Times New Roman" w:hAnsi="Times New Roman" w:cs="Times New Roman"/>
          <w:sz w:val="24"/>
          <w:szCs w:val="24"/>
        </w:rPr>
        <w:t>:</w:t>
      </w:r>
    </w:p>
    <w:p w14:paraId="4D6D6B0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 detailed comparison of the models showed that Random Forest also performed well, closely following SVm with accuracy and recall of 64% respectively. XGBoost exhibited moderate performance while DT had the least accuracy and prediction reliability.</w:t>
      </w:r>
    </w:p>
    <w:p w14:paraId="79AFD4BD">
      <w:pPr>
        <w:pStyle w:val="3"/>
        <w:spacing w:line="360" w:lineRule="auto"/>
      </w:pPr>
      <w:bookmarkStart w:id="55" w:name="_Toc183163368"/>
      <w:r>
        <w:t>5.</w:t>
      </w:r>
      <w:r>
        <w:rPr>
          <w:rFonts w:hint="default"/>
          <w:lang w:val="en-US"/>
        </w:rPr>
        <w:t>2</w:t>
      </w:r>
      <w:bookmarkEnd w:id="55"/>
      <w:bookmarkStart w:id="56" w:name="_Toc183163369"/>
      <w:r>
        <w:rPr>
          <w:rFonts w:hint="default"/>
          <w:lang w:val="en-US"/>
        </w:rPr>
        <w:tab/>
      </w:r>
      <w:r>
        <w:t>Recommendations</w:t>
      </w:r>
      <w:bookmarkEnd w:id="56"/>
    </w:p>
    <w:p w14:paraId="698157C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following recommendations are made based on the study findings:</w:t>
      </w:r>
    </w:p>
    <w:p w14:paraId="2210AC7B">
      <w:pPr>
        <w:numPr>
          <w:ilvl w:val="0"/>
          <w:numId w:val="2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Service Improvement Initiatives: Telecommunication companies, particularly MTN and Airtel, should invest in infrastructure upgrades to improve network coverage and service quality, which were the primary reasons for customer dissatisfaction.</w:t>
      </w:r>
    </w:p>
    <w:p w14:paraId="74B5BFF3">
      <w:pPr>
        <w:numPr>
          <w:ilvl w:val="0"/>
          <w:numId w:val="2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Utilizing Predictive Models: Companies should integrate the SVM model into their customer management systems to accurately predict churn and intervene early by offering targeted retention strategies such as loyalty programs, personalized offers, or addressing specific grievances.</w:t>
      </w:r>
    </w:p>
    <w:p w14:paraId="7B91C23D">
      <w:pPr>
        <w:numPr>
          <w:ilvl w:val="0"/>
          <w:numId w:val="2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Feedback Mechanisms: Establishing more effective customer feedback loops can help identify service deficiencies before they escalate to churn. Implementing regular surveys, quick issue-resolution platforms, and more responsive customer service can significantly enhance customer satisfaction.</w:t>
      </w:r>
    </w:p>
    <w:p w14:paraId="21D58CD5">
      <w:pPr>
        <w:numPr>
          <w:ilvl w:val="0"/>
          <w:numId w:val="2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Customized Offers: Companies should consider developing more personalized promotions and incentives based on customer spending patterns and preferences. These could include data and voice bundles, price discounts, and special offers for long-term customers.</w:t>
      </w:r>
    </w:p>
    <w:p w14:paraId="188885CC">
      <w:pPr>
        <w:pStyle w:val="3"/>
        <w:numPr>
          <w:ilvl w:val="0"/>
          <w:numId w:val="0"/>
        </w:numPr>
        <w:spacing w:line="360" w:lineRule="auto"/>
        <w:jc w:val="left"/>
        <w:rPr>
          <w:rFonts w:hint="default"/>
          <w:lang w:val="en-US"/>
        </w:rPr>
      </w:pPr>
      <w:r>
        <w:rPr>
          <w:rFonts w:hint="default"/>
          <w:lang w:val="en-US"/>
        </w:rPr>
        <w:t>5.3</w:t>
      </w:r>
      <w:r>
        <w:rPr>
          <w:rFonts w:hint="default"/>
          <w:lang w:val="en-US"/>
        </w:rPr>
        <w:tab/>
      </w:r>
      <w:r>
        <w:t>Conclusion</w:t>
      </w:r>
    </w:p>
    <w:p w14:paraId="4881A25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Based on the findings from the data analysis and model evaluation, several conclusions can be drawn:</w:t>
      </w:r>
    </w:p>
    <w:p w14:paraId="303E15DC">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Service Quality and Customer Satisfaction: The study confirms that service quality remains the most critical determinant of customer loyalty in the Nigerian telecommunications industry. Customers are highly likely to switch providers due to poor service experiences, particularly concerning network coverage and billing issues.</w:t>
      </w:r>
    </w:p>
    <w:p w14:paraId="58D9777B">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Churn Prediction: The use of machine learning models for churn prediction has proven to be effective. The SVM emerged as the most accurate model for predicting customer churn, making it a valuable tool for telecom operators seeking to identify at-risk customers before they leave.</w:t>
      </w:r>
    </w:p>
    <w:p w14:paraId="29C98C5E">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Improving Customer Retention: To minimize churn, telecommunications companies need to prioritize improving network reliability, billing transparency, and customer service. Additionally, offering competitive promotions and packages tailored to customer needs could help retain existing customers and attract new ones.</w:t>
      </w:r>
    </w:p>
    <w:p w14:paraId="341AAE18">
      <w:pPr>
        <w:pStyle w:val="3"/>
        <w:spacing w:line="360" w:lineRule="auto"/>
        <w:rPr>
          <w:rFonts w:hint="default"/>
          <w:lang w:val="en-US"/>
        </w:rPr>
      </w:pPr>
      <w:bookmarkStart w:id="57" w:name="_Toc183163370"/>
      <w:r>
        <w:t>5.</w:t>
      </w:r>
      <w:r>
        <w:rPr>
          <w:rFonts w:hint="default"/>
          <w:lang w:val="en-US"/>
        </w:rPr>
        <w:t>5</w:t>
      </w:r>
      <w:bookmarkEnd w:id="57"/>
      <w:r>
        <w:rPr>
          <w:rFonts w:hint="default"/>
          <w:lang w:val="en-US"/>
        </w:rPr>
        <w:tab/>
      </w:r>
      <w:r>
        <w:rPr>
          <w:rFonts w:hint="default"/>
          <w:lang w:val="en-US"/>
        </w:rPr>
        <w:t>Future Enhancement</w:t>
      </w:r>
    </w:p>
    <w:p w14:paraId="7E958E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Future research could expand the scope of the study to include a broader range of telecom operators and a larger dataset to validate the findings. Additionally, exploring the integration of machine learning with real-time customer analytics may provide even deeper insights into churn behavior and help telecom companies react proactively to customer needs.</w:t>
      </w:r>
    </w:p>
    <w:p w14:paraId="4A7C7525">
      <w:pPr>
        <w:pStyle w:val="3"/>
        <w:spacing w:line="360" w:lineRule="auto"/>
        <w:rPr>
          <w:rFonts w:hint="default"/>
          <w:lang w:val="en-US"/>
        </w:rPr>
      </w:pPr>
      <w:bookmarkStart w:id="58" w:name="_Toc183163371"/>
      <w:r>
        <w:t>5.</w:t>
      </w:r>
      <w:r>
        <w:rPr>
          <w:rFonts w:hint="default"/>
          <w:lang w:val="en-US"/>
        </w:rPr>
        <w:t>6</w:t>
      </w:r>
      <w:bookmarkEnd w:id="58"/>
      <w:r>
        <w:rPr>
          <w:rFonts w:hint="default"/>
          <w:lang w:val="en-US"/>
        </w:rPr>
        <w:tab/>
      </w:r>
      <w:r>
        <w:rPr>
          <w:rFonts w:hint="default"/>
          <w:lang w:val="en-US"/>
        </w:rPr>
        <w:t>Research Contribution</w:t>
      </w:r>
    </w:p>
    <w:p w14:paraId="23A6DECA">
      <w:pPr>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Churn Factors: The research identifies critical drivers of customer churn in Nigeria's telecom industry, particularly service quality and network coverage.</w:t>
      </w:r>
    </w:p>
    <w:p w14:paraId="53BDB6C3">
      <w:pPr>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Application: This study demonstrates the effective use of machine learning models for churn prediction, with SVM outperforming others.</w:t>
      </w:r>
    </w:p>
    <w:p w14:paraId="52A13FF7">
      <w:pPr>
        <w:numPr>
          <w:ilvl w:val="0"/>
          <w:numId w:val="23"/>
        </w:numPr>
        <w:spacing w:after="0" w:line="360" w:lineRule="auto"/>
        <w:jc w:val="both"/>
      </w:pPr>
      <w:r>
        <w:rPr>
          <w:rFonts w:ascii="Times New Roman" w:hAnsi="Times New Roman" w:cs="Times New Roman"/>
          <w:sz w:val="24"/>
          <w:szCs w:val="24"/>
        </w:rPr>
        <w:t>Nigerian Context: It provides insights specific to the Nigerian telecom sector, addressing the gap in local churn prediction studies.</w:t>
      </w:r>
      <w:bookmarkStart w:id="59" w:name="_Toc183163372"/>
    </w:p>
    <w:p w14:paraId="3AD9F2C4">
      <w:pPr>
        <w:pStyle w:val="3"/>
        <w:spacing w:line="360" w:lineRule="auto"/>
      </w:pPr>
    </w:p>
    <w:p w14:paraId="473485E0">
      <w:pPr>
        <w:pStyle w:val="3"/>
        <w:spacing w:line="360" w:lineRule="auto"/>
      </w:pPr>
    </w:p>
    <w:p w14:paraId="5B57D002">
      <w:pPr>
        <w:pStyle w:val="3"/>
        <w:spacing w:line="360" w:lineRule="auto"/>
      </w:pPr>
    </w:p>
    <w:p w14:paraId="59F34981">
      <w:pPr>
        <w:pStyle w:val="3"/>
        <w:spacing w:line="360" w:lineRule="auto"/>
      </w:pPr>
    </w:p>
    <w:p w14:paraId="1DA30EB9"/>
    <w:p w14:paraId="14BC7EEC">
      <w:pPr>
        <w:pStyle w:val="2"/>
        <w:bidi w:val="0"/>
      </w:pPr>
    </w:p>
    <w:p w14:paraId="63A5A550"/>
    <w:p w14:paraId="78692694">
      <w:pPr>
        <w:pStyle w:val="2"/>
        <w:bidi w:val="0"/>
      </w:pPr>
      <w:r>
        <w:t>REFERENCES</w:t>
      </w:r>
      <w:bookmarkEnd w:id="59"/>
    </w:p>
    <w:p w14:paraId="74F9E304">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Abdulkareem, R. A., Oladokun, V. O., &amp; Adeniyi, F. A. (2019). </w:t>
      </w:r>
      <w:r>
        <w:rPr>
          <w:rFonts w:ascii="Times New Roman" w:hAnsi="Times New Roman" w:cs="Times New Roman"/>
          <w:i/>
          <w:iCs/>
          <w:sz w:val="24"/>
          <w:szCs w:val="24"/>
        </w:rPr>
        <w:t>Customer churn analysis for telecom firms in developing countries.</w:t>
      </w:r>
      <w:r>
        <w:rPr>
          <w:rFonts w:ascii="Times New Roman" w:hAnsi="Times New Roman" w:cs="Times New Roman"/>
          <w:sz w:val="24"/>
          <w:szCs w:val="24"/>
        </w:rPr>
        <w:t xml:space="preserve"> International Journal of Data Science, 10(3), 212-227.</w:t>
      </w:r>
    </w:p>
    <w:p w14:paraId="3186F5FB">
      <w:pPr>
        <w:spacing w:before="100" w:beforeAutospacing="1" w:after="100" w:afterAutospacing="1" w:line="360" w:lineRule="auto"/>
        <w:ind w:left="720" w:hanging="720"/>
        <w:jc w:val="both"/>
        <w:rPr>
          <w:rFonts w:ascii="Times New Roman" w:hAnsi="Times New Roman" w:cs="Times New Roman"/>
          <w:sz w:val="24"/>
          <w:szCs w:val="24"/>
        </w:rPr>
      </w:pPr>
      <w:bookmarkStart w:id="60" w:name="_Hlk178432131"/>
      <w:r>
        <w:rPr>
          <w:rFonts w:ascii="Times New Roman" w:hAnsi="Times New Roman" w:cs="Times New Roman"/>
          <w:sz w:val="24"/>
          <w:szCs w:val="24"/>
        </w:rPr>
        <w:t>Abreu</w:t>
      </w:r>
      <w:bookmarkEnd w:id="60"/>
      <w:r>
        <w:rPr>
          <w:rFonts w:ascii="Times New Roman" w:hAnsi="Times New Roman" w:cs="Times New Roman"/>
          <w:sz w:val="24"/>
          <w:szCs w:val="24"/>
        </w:rPr>
        <w:t xml:space="preserve">, J., Nogueira, J., Becker, V., and Cardoso, B. (2016). Survey of Catch-up TV and other time-shift services: a comprehensive analysis and taxonomy of linear and nonlinear television. Telecommunication Systems, 64(1), 57–74. </w:t>
      </w:r>
      <w:r>
        <w:fldChar w:fldCharType="begin"/>
      </w:r>
      <w:r>
        <w:instrText xml:space="preserve"> HYPERLINK "https://doi.org/10.1007/s11235-016-0157-3" </w:instrText>
      </w:r>
      <w:r>
        <w:fldChar w:fldCharType="separate"/>
      </w:r>
      <w:r>
        <w:rPr>
          <w:rStyle w:val="16"/>
          <w:rFonts w:ascii="Times New Roman" w:hAnsi="Times New Roman" w:cs="Times New Roman"/>
          <w:color w:val="auto"/>
          <w:sz w:val="24"/>
          <w:szCs w:val="24"/>
        </w:rPr>
        <w:t>https://doi.org/10.1007/s11235-016-0157-3</w:t>
      </w:r>
      <w:r>
        <w:rPr>
          <w:rStyle w:val="16"/>
          <w:rFonts w:ascii="Times New Roman" w:hAnsi="Times New Roman" w:cs="Times New Roman"/>
          <w:color w:val="auto"/>
          <w:sz w:val="24"/>
          <w:szCs w:val="24"/>
        </w:rPr>
        <w:fldChar w:fldCharType="end"/>
      </w:r>
    </w:p>
    <w:p w14:paraId="21977CD2">
      <w:pPr>
        <w:pStyle w:val="17"/>
        <w:spacing w:line="360" w:lineRule="auto"/>
        <w:ind w:left="720" w:hanging="720"/>
        <w:jc w:val="both"/>
      </w:pPr>
      <w:r>
        <w:t xml:space="preserve">Aggarwal, C. C. (2015). </w:t>
      </w:r>
      <w:r>
        <w:rPr>
          <w:rStyle w:val="13"/>
        </w:rPr>
        <w:t>Data Mining: The Textbook</w:t>
      </w:r>
      <w:r>
        <w:t>. Springer.</w:t>
      </w:r>
    </w:p>
    <w:p w14:paraId="4B9C4793">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Ahn, J. H., Han, S. P., and Lee, Y. S. (2016). Customer churn analysis: Churn determinants and mediation effects of partial defection in the Korean mobile telecommunications service industry. </w:t>
      </w:r>
      <w:r>
        <w:rPr>
          <w:rFonts w:ascii="Times New Roman" w:hAnsi="Times New Roman" w:eastAsia="Times New Roman" w:cs="Times New Roman"/>
          <w:i/>
          <w:iCs/>
          <w:sz w:val="24"/>
          <w:szCs w:val="24"/>
        </w:rPr>
        <w:t>Telecommunications Policy, 30</w:t>
      </w:r>
      <w:r>
        <w:rPr>
          <w:rFonts w:ascii="Times New Roman" w:hAnsi="Times New Roman" w:eastAsia="Times New Roman" w:cs="Times New Roman"/>
          <w:sz w:val="24"/>
          <w:szCs w:val="24"/>
        </w:rPr>
        <w:t>(10-11), 552-568.</w:t>
      </w:r>
    </w:p>
    <w:p w14:paraId="4572B096">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Ajzen, I. (1991). The theory of planned behavior. </w:t>
      </w:r>
      <w:r>
        <w:rPr>
          <w:rStyle w:val="13"/>
          <w:rFonts w:ascii="Times New Roman" w:hAnsi="Times New Roman" w:cs="Times New Roman"/>
          <w:sz w:val="24"/>
          <w:szCs w:val="24"/>
        </w:rPr>
        <w:t>Organizational Behavior and Human Decision Processes, 50</w:t>
      </w:r>
      <w:r>
        <w:rPr>
          <w:rFonts w:ascii="Times New Roman" w:hAnsi="Times New Roman" w:cs="Times New Roman"/>
          <w:sz w:val="24"/>
          <w:szCs w:val="24"/>
        </w:rPr>
        <w:t>(2), 179-211.</w:t>
      </w:r>
    </w:p>
    <w:p w14:paraId="5BED50B1">
      <w:pPr>
        <w:pStyle w:val="17"/>
        <w:spacing w:line="360" w:lineRule="auto"/>
        <w:ind w:left="720" w:hanging="720"/>
        <w:jc w:val="both"/>
      </w:pPr>
      <w:r>
        <w:t xml:space="preserve">Allison, P. D. (2012). </w:t>
      </w:r>
      <w:r>
        <w:rPr>
          <w:rStyle w:val="13"/>
        </w:rPr>
        <w:t>Logistic Regression Using SAS: Theory and Application</w:t>
      </w:r>
      <w:r>
        <w:t>. SAS Institute.</w:t>
      </w:r>
    </w:p>
    <w:p w14:paraId="3A3D8D36">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Amin, A., Al-Obeidat, F., Shah, B., Adnan, A., Loo, J., &amp; Anwar, S. (2018). Customer churn prediction in telecommunication industry using data certainty. </w:t>
      </w:r>
      <w:r>
        <w:rPr>
          <w:rFonts w:ascii="Times New Roman" w:hAnsi="Times New Roman" w:cs="Times New Roman"/>
          <w:i/>
          <w:iCs/>
          <w:sz w:val="24"/>
          <w:szCs w:val="24"/>
        </w:rPr>
        <w:t>Journal of Business Research</w:t>
      </w:r>
      <w:r>
        <w:rPr>
          <w:rFonts w:ascii="Times New Roman" w:hAnsi="Times New Roman" w:cs="Times New Roman"/>
          <w:sz w:val="24"/>
          <w:szCs w:val="24"/>
        </w:rPr>
        <w:t>, </w:t>
      </w:r>
      <w:r>
        <w:rPr>
          <w:rFonts w:ascii="Times New Roman" w:hAnsi="Times New Roman" w:cs="Times New Roman"/>
          <w:i/>
          <w:iCs/>
          <w:sz w:val="24"/>
          <w:szCs w:val="24"/>
        </w:rPr>
        <w:t>94</w:t>
      </w:r>
      <w:r>
        <w:rPr>
          <w:rFonts w:ascii="Times New Roman" w:hAnsi="Times New Roman" w:cs="Times New Roman"/>
          <w:sz w:val="24"/>
          <w:szCs w:val="24"/>
        </w:rPr>
        <w:t>, 290–301. </w:t>
      </w:r>
      <w:r>
        <w:fldChar w:fldCharType="begin"/>
      </w:r>
      <w:r>
        <w:instrText xml:space="preserve"> HYPERLINK "https://doi.org/10.1016/j.jbusres.2018.03.003" </w:instrText>
      </w:r>
      <w:r>
        <w:fldChar w:fldCharType="separate"/>
      </w:r>
      <w:r>
        <w:rPr>
          <w:rStyle w:val="16"/>
          <w:rFonts w:ascii="Times New Roman" w:hAnsi="Times New Roman" w:cs="Times New Roman"/>
          <w:color w:val="auto"/>
          <w:sz w:val="24"/>
          <w:szCs w:val="24"/>
        </w:rPr>
        <w:t>https://doi.org/10.1016/j.jbusres.2018.03.003</w:t>
      </w:r>
      <w:r>
        <w:rPr>
          <w:rStyle w:val="16"/>
          <w:rFonts w:ascii="Times New Roman" w:hAnsi="Times New Roman" w:cs="Times New Roman"/>
          <w:color w:val="auto"/>
          <w:sz w:val="24"/>
          <w:szCs w:val="24"/>
        </w:rPr>
        <w:fldChar w:fldCharType="end"/>
      </w:r>
    </w:p>
    <w:p w14:paraId="665F3492">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Amin, A., Anwar, S., Adnan, A., Nawaz, M., Howard, N., Qadir, J., ... and Hussain, A. (2019). Customer churn prediction in the telecommunication sector using a rough set approach. </w:t>
      </w:r>
      <w:r>
        <w:rPr>
          <w:rStyle w:val="13"/>
          <w:rFonts w:ascii="Times New Roman" w:hAnsi="Times New Roman" w:cs="Times New Roman"/>
          <w:sz w:val="24"/>
          <w:szCs w:val="24"/>
        </w:rPr>
        <w:t>Neurocomputing, 237</w:t>
      </w:r>
      <w:r>
        <w:rPr>
          <w:rFonts w:ascii="Times New Roman" w:hAnsi="Times New Roman" w:cs="Times New Roman"/>
          <w:sz w:val="24"/>
          <w:szCs w:val="24"/>
        </w:rPr>
        <w:t>, 242-254.</w:t>
      </w:r>
    </w:p>
    <w:p w14:paraId="6D70AAB7">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Anderson, R. E. (2018). Customer satisfaction and word of mouth. </w:t>
      </w:r>
      <w:r>
        <w:rPr>
          <w:rFonts w:ascii="Times New Roman" w:hAnsi="Times New Roman" w:eastAsia="Times New Roman" w:cs="Times New Roman"/>
          <w:i/>
          <w:iCs/>
          <w:sz w:val="24"/>
          <w:szCs w:val="24"/>
        </w:rPr>
        <w:t>Journal of Service Research, 1</w:t>
      </w:r>
      <w:r>
        <w:rPr>
          <w:rFonts w:ascii="Times New Roman" w:hAnsi="Times New Roman" w:eastAsia="Times New Roman" w:cs="Times New Roman"/>
          <w:sz w:val="24"/>
          <w:szCs w:val="24"/>
        </w:rPr>
        <w:t>(1), 5-17.</w:t>
      </w:r>
    </w:p>
    <w:p w14:paraId="16521AFB">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Anderson, R. E., and Srinivasan, S. S. (2003). E‐satisfaction and e‐loyalty: A contingency framework. </w:t>
      </w:r>
      <w:r>
        <w:rPr>
          <w:rFonts w:ascii="Times New Roman" w:hAnsi="Times New Roman" w:eastAsia="Times New Roman" w:cs="Times New Roman"/>
          <w:i/>
          <w:iCs/>
          <w:sz w:val="24"/>
          <w:szCs w:val="24"/>
        </w:rPr>
        <w:t>Psychology and Marketing, 20</w:t>
      </w:r>
      <w:r>
        <w:rPr>
          <w:rFonts w:ascii="Times New Roman" w:hAnsi="Times New Roman" w:eastAsia="Times New Roman" w:cs="Times New Roman"/>
          <w:sz w:val="24"/>
          <w:szCs w:val="24"/>
        </w:rPr>
        <w:t>(2), 123-138.</w:t>
      </w:r>
    </w:p>
    <w:p w14:paraId="66E1C342">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Bandyopadhyay, S., and Martell, M. (2017). Does attitudinal loyalty influence behavioral loyalty? A theoretical and empirical study. </w:t>
      </w:r>
      <w:r>
        <w:rPr>
          <w:rFonts w:ascii="Times New Roman" w:hAnsi="Times New Roman" w:eastAsia="Times New Roman" w:cs="Times New Roman"/>
          <w:i/>
          <w:iCs/>
          <w:sz w:val="24"/>
          <w:szCs w:val="24"/>
        </w:rPr>
        <w:t>Journal of Retailing and Consumer Services, 14</w:t>
      </w:r>
      <w:r>
        <w:rPr>
          <w:rFonts w:ascii="Times New Roman" w:hAnsi="Times New Roman" w:eastAsia="Times New Roman" w:cs="Times New Roman"/>
          <w:sz w:val="24"/>
          <w:szCs w:val="24"/>
        </w:rPr>
        <w:t>(1), 35-44.</w:t>
      </w:r>
    </w:p>
    <w:p w14:paraId="7E0C9E07">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Bishop, C. M. (2006). </w:t>
      </w:r>
      <w:r>
        <w:rPr>
          <w:rStyle w:val="13"/>
          <w:rFonts w:ascii="Times New Roman" w:hAnsi="Times New Roman" w:cs="Times New Roman"/>
          <w:sz w:val="24"/>
          <w:szCs w:val="24"/>
        </w:rPr>
        <w:t>Pattern Recognition and Machine Learning</w:t>
      </w:r>
      <w:r>
        <w:rPr>
          <w:rFonts w:ascii="Times New Roman" w:hAnsi="Times New Roman" w:cs="Times New Roman"/>
          <w:sz w:val="24"/>
          <w:szCs w:val="24"/>
        </w:rPr>
        <w:t>. Springer.</w:t>
      </w:r>
    </w:p>
    <w:p w14:paraId="451777B1">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Blattberg, R. C., Malthouse, E. C., and Neslin, S. A. (2019). </w:t>
      </w:r>
      <w:r>
        <w:rPr>
          <w:rFonts w:ascii="Times New Roman" w:hAnsi="Times New Roman" w:eastAsia="Times New Roman" w:cs="Times New Roman"/>
          <w:i/>
          <w:iCs/>
          <w:sz w:val="24"/>
          <w:szCs w:val="24"/>
        </w:rPr>
        <w:t>Customer lifetime value: Empirical generalizations and some conceptual questions</w:t>
      </w:r>
      <w:r>
        <w:rPr>
          <w:rFonts w:ascii="Times New Roman" w:hAnsi="Times New Roman" w:eastAsia="Times New Roman" w:cs="Times New Roman"/>
          <w:sz w:val="24"/>
          <w:szCs w:val="24"/>
        </w:rPr>
        <w:t>. Journal of Interactive Marketing, 23(2), 157-168.</w:t>
      </w:r>
    </w:p>
    <w:p w14:paraId="30579299">
      <w:pPr>
        <w:pStyle w:val="17"/>
        <w:spacing w:line="360" w:lineRule="auto"/>
        <w:ind w:left="720" w:hanging="720"/>
        <w:jc w:val="both"/>
      </w:pPr>
      <w:r>
        <w:t xml:space="preserve">Bolton, R. N., Lemon, K. N., and Verhoef, P. C. (2020). The theoretical underpinnings of customer asset management: A framework and propositions for future research. </w:t>
      </w:r>
      <w:r>
        <w:rPr>
          <w:rStyle w:val="13"/>
          <w:rFonts w:eastAsiaTheme="majorEastAsia"/>
        </w:rPr>
        <w:t>Journal of the Academy of Marketing Science, 32</w:t>
      </w:r>
      <w:r>
        <w:t>(3), 271-292.</w:t>
      </w:r>
    </w:p>
    <w:p w14:paraId="2A9FD47F">
      <w:pPr>
        <w:pStyle w:val="17"/>
        <w:spacing w:line="360" w:lineRule="auto"/>
        <w:ind w:left="720" w:hanging="720"/>
        <w:jc w:val="both"/>
      </w:pPr>
      <w:r>
        <w:t xml:space="preserve">Breiman, L. (2001). Random forests. </w:t>
      </w:r>
      <w:r>
        <w:rPr>
          <w:rStyle w:val="13"/>
        </w:rPr>
        <w:t>Machine Learning, 45</w:t>
      </w:r>
      <w:r>
        <w:t>(1), 5-32.</w:t>
      </w:r>
    </w:p>
    <w:p w14:paraId="50A7C89A">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Bryman, A., and Bell, E. (2015). Business Research Methods (4th ed.). Oxford University Press.</w:t>
      </w:r>
    </w:p>
    <w:p w14:paraId="4FC7AC30">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Burnham, T. A., Frels, J. K., and Mahajan, V. (2003). Consumer switching costs: A typology, antecedents, and consequences. </w:t>
      </w:r>
      <w:r>
        <w:rPr>
          <w:rStyle w:val="13"/>
          <w:rFonts w:ascii="Times New Roman" w:hAnsi="Times New Roman" w:cs="Times New Roman"/>
          <w:sz w:val="24"/>
          <w:szCs w:val="24"/>
        </w:rPr>
        <w:t>Journal of the Academy of Marketing Science, 31</w:t>
      </w:r>
      <w:r>
        <w:rPr>
          <w:rFonts w:ascii="Times New Roman" w:hAnsi="Times New Roman" w:cs="Times New Roman"/>
          <w:sz w:val="24"/>
          <w:szCs w:val="24"/>
        </w:rPr>
        <w:t>(2), 109-126.</w:t>
      </w:r>
    </w:p>
    <w:p w14:paraId="3A258B06">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Chang, V., Hall, K., Xu, Q., Amao, F., Ganatra, M., &amp; Benson, V. (2024). Prediction of customer churn behavior in the telecommunication industry using machine learning models. </w:t>
      </w:r>
      <w:r>
        <w:rPr>
          <w:rFonts w:ascii="Times New Roman" w:hAnsi="Times New Roman" w:cs="Times New Roman"/>
          <w:i/>
          <w:iCs/>
          <w:sz w:val="24"/>
          <w:szCs w:val="24"/>
        </w:rPr>
        <w:t>Algorithms</w:t>
      </w:r>
      <w:r>
        <w:rPr>
          <w:rFonts w:ascii="Times New Roman" w:hAnsi="Times New Roman" w:cs="Times New Roman"/>
          <w:sz w:val="24"/>
          <w:szCs w:val="24"/>
        </w:rPr>
        <w:t>, </w:t>
      </w:r>
      <w:r>
        <w:rPr>
          <w:rFonts w:ascii="Times New Roman" w:hAnsi="Times New Roman" w:cs="Times New Roman"/>
          <w:i/>
          <w:iCs/>
          <w:sz w:val="24"/>
          <w:szCs w:val="24"/>
        </w:rPr>
        <w:t>17</w:t>
      </w:r>
      <w:r>
        <w:rPr>
          <w:rFonts w:ascii="Times New Roman" w:hAnsi="Times New Roman" w:cs="Times New Roman"/>
          <w:sz w:val="24"/>
          <w:szCs w:val="24"/>
        </w:rPr>
        <w:t>(6), 231. </w:t>
      </w:r>
      <w:r>
        <w:fldChar w:fldCharType="begin"/>
      </w:r>
      <w:r>
        <w:instrText xml:space="preserve"> HYPERLINK "https://doi.org/10.3390/a17060231" </w:instrText>
      </w:r>
      <w:r>
        <w:fldChar w:fldCharType="separate"/>
      </w:r>
      <w:r>
        <w:rPr>
          <w:rStyle w:val="16"/>
          <w:rFonts w:ascii="Times New Roman" w:hAnsi="Times New Roman" w:cs="Times New Roman"/>
          <w:color w:val="auto"/>
          <w:sz w:val="24"/>
          <w:szCs w:val="24"/>
        </w:rPr>
        <w:t>https://doi.org/10.3390/a17060231</w:t>
      </w:r>
      <w:r>
        <w:rPr>
          <w:rStyle w:val="16"/>
          <w:rFonts w:ascii="Times New Roman" w:hAnsi="Times New Roman" w:cs="Times New Roman"/>
          <w:color w:val="auto"/>
          <w:sz w:val="24"/>
          <w:szCs w:val="24"/>
        </w:rPr>
        <w:fldChar w:fldCharType="end"/>
      </w:r>
    </w:p>
    <w:p w14:paraId="4D5339FF">
      <w:pPr>
        <w:pStyle w:val="17"/>
        <w:spacing w:line="360" w:lineRule="auto"/>
        <w:ind w:left="720" w:hanging="720"/>
        <w:jc w:val="both"/>
      </w:pPr>
      <w:r>
        <w:t xml:space="preserve">Chen, T., and Guestrin, C. (2016). XGBoost: A scalable tree boosting system. In </w:t>
      </w:r>
      <w:r>
        <w:rPr>
          <w:rStyle w:val="13"/>
        </w:rPr>
        <w:t>Proceedings of the 22nd ACM SIGKDD International Conference on Knowledge Discovery and Data Mining</w:t>
      </w:r>
      <w:r>
        <w:t xml:space="preserve"> (pp. 785-794).</w:t>
      </w:r>
    </w:p>
    <w:p w14:paraId="0CE4DD28">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Chen, Z., Lee, Y., &amp; Park, J. (2020). </w:t>
      </w:r>
      <w:r>
        <w:rPr>
          <w:rFonts w:ascii="Times New Roman" w:hAnsi="Times New Roman" w:cs="Times New Roman"/>
          <w:i/>
          <w:iCs/>
          <w:sz w:val="24"/>
          <w:szCs w:val="24"/>
        </w:rPr>
        <w:t>Application of ensemble models for customer churn prediction: A case study in the telecom sector.</w:t>
      </w:r>
      <w:r>
        <w:rPr>
          <w:rFonts w:ascii="Times New Roman" w:hAnsi="Times New Roman" w:cs="Times New Roman"/>
          <w:sz w:val="24"/>
          <w:szCs w:val="24"/>
        </w:rPr>
        <w:t xml:space="preserve"> Computers in Human Behavior, 107, 105752.</w:t>
      </w:r>
    </w:p>
    <w:p w14:paraId="43050220">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Cortes, C., and Vapnik, V. (1995). Support-vector networks. Machine Learning, 20(3), 273-297.</w:t>
      </w:r>
    </w:p>
    <w:p w14:paraId="322F611D">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Cox, D. R. (1972). Regression Models and Life-Tables (with Discussion). </w:t>
      </w:r>
      <w:r>
        <w:rPr>
          <w:rFonts w:ascii="Times New Roman" w:hAnsi="Times New Roman" w:cs="Times New Roman"/>
          <w:i/>
          <w:iCs/>
          <w:sz w:val="24"/>
          <w:szCs w:val="24"/>
        </w:rPr>
        <w:t>Journal of the Royal Statistical Society: Series B (Methodological)</w:t>
      </w:r>
      <w:r>
        <w:rPr>
          <w:rFonts w:ascii="Times New Roman" w:hAnsi="Times New Roman" w:cs="Times New Roman"/>
          <w:sz w:val="24"/>
          <w:szCs w:val="24"/>
        </w:rPr>
        <w:t>, 34(2), 187-220.</w:t>
      </w:r>
    </w:p>
    <w:p w14:paraId="5EAD670E">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Davis, F. D. (1989). Perceived usefulness, perceived ease of use, and user acceptance of information technology. </w:t>
      </w:r>
      <w:r>
        <w:rPr>
          <w:rStyle w:val="13"/>
          <w:rFonts w:ascii="Times New Roman" w:hAnsi="Times New Roman" w:cs="Times New Roman"/>
          <w:sz w:val="24"/>
          <w:szCs w:val="24"/>
        </w:rPr>
        <w:t>MIS Quarterly, 13</w:t>
      </w:r>
      <w:r>
        <w:rPr>
          <w:rFonts w:ascii="Times New Roman" w:hAnsi="Times New Roman" w:cs="Times New Roman"/>
          <w:sz w:val="24"/>
          <w:szCs w:val="24"/>
        </w:rPr>
        <w:t>(3), 319-340.</w:t>
      </w:r>
    </w:p>
    <w:p w14:paraId="3D5775E7">
      <w:pPr>
        <w:pStyle w:val="17"/>
        <w:spacing w:line="360" w:lineRule="auto"/>
        <w:ind w:left="720" w:hanging="720"/>
        <w:jc w:val="both"/>
      </w:pPr>
      <w:r>
        <w:t xml:space="preserve">De Bruyn, A., and Lilien, G. L. (2018). A multi-stage model of word-of-mouth influence through viral marketing. </w:t>
      </w:r>
      <w:r>
        <w:rPr>
          <w:rStyle w:val="13"/>
          <w:rFonts w:eastAsiaTheme="majorEastAsia"/>
        </w:rPr>
        <w:t>International Journal of Research in Marketing, 25</w:t>
      </w:r>
      <w:r>
        <w:t>(3), 151-163.</w:t>
      </w:r>
    </w:p>
    <w:p w14:paraId="5F52F562">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Deloitte. (2020). The Future of the Telecommunications Industry: A Dual Transformation. Retrieved from Deloitte</w:t>
      </w:r>
    </w:p>
    <w:p w14:paraId="0C9CA1F9">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Dick, A. S., and Basu, K. (1994). Customer loyalty: Toward an integrated conceptual framework. </w:t>
      </w:r>
      <w:r>
        <w:rPr>
          <w:rStyle w:val="13"/>
          <w:rFonts w:ascii="Times New Roman" w:hAnsi="Times New Roman" w:cs="Times New Roman"/>
          <w:sz w:val="24"/>
          <w:szCs w:val="24"/>
        </w:rPr>
        <w:t>Journal of the Academy of Marketing Science, 22</w:t>
      </w:r>
      <w:r>
        <w:rPr>
          <w:rFonts w:ascii="Times New Roman" w:hAnsi="Times New Roman" w:cs="Times New Roman"/>
          <w:sz w:val="24"/>
          <w:szCs w:val="24"/>
        </w:rPr>
        <w:t>(2), 99-113.</w:t>
      </w:r>
    </w:p>
    <w:p w14:paraId="6FFE7A1D">
      <w:pPr>
        <w:pStyle w:val="17"/>
        <w:spacing w:line="360" w:lineRule="auto"/>
        <w:ind w:left="720" w:hanging="720"/>
        <w:jc w:val="both"/>
      </w:pPr>
      <w:r>
        <w:t xml:space="preserve">Domingos, P. (2012). A few useful things to know about machine learning. </w:t>
      </w:r>
      <w:r>
        <w:rPr>
          <w:rStyle w:val="13"/>
        </w:rPr>
        <w:t>Communications of the ACM, 55</w:t>
      </w:r>
      <w:r>
        <w:t>(10), 78-87.</w:t>
      </w:r>
    </w:p>
    <w:p w14:paraId="109F8E45">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Ernst and Young. (2019). Digital Disruption in India: Transforming Consumer Services. Retrieved from EY India</w:t>
      </w:r>
    </w:p>
    <w:p w14:paraId="5421978D">
      <w:pPr>
        <w:pStyle w:val="17"/>
        <w:spacing w:line="360" w:lineRule="auto"/>
        <w:ind w:left="720" w:hanging="720"/>
        <w:jc w:val="both"/>
      </w:pPr>
      <w:r>
        <w:t xml:space="preserve">Field, A. (2013). </w:t>
      </w:r>
      <w:r>
        <w:rPr>
          <w:rStyle w:val="13"/>
        </w:rPr>
        <w:t>Discovering Statistics Using IBM SPSS Statistics</w:t>
      </w:r>
      <w:r>
        <w:t xml:space="preserve"> (4th ed.). SAGE Publications.</w:t>
      </w:r>
    </w:p>
    <w:p w14:paraId="27BFD5B0">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Gartner. (2021). Market Insights: US Telecommunications Industry. Retrieved from Gartner</w:t>
      </w:r>
    </w:p>
    <w:p w14:paraId="05759623">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Gerpott, T. J., Rams, W., and Schindler, A. (2021). Customer retention, loyalty, and satisfaction in the German mobile cellular telecommunications market. </w:t>
      </w:r>
      <w:r>
        <w:rPr>
          <w:rFonts w:ascii="Times New Roman" w:hAnsi="Times New Roman" w:eastAsia="Times New Roman" w:cs="Times New Roman"/>
          <w:i/>
          <w:iCs/>
          <w:sz w:val="24"/>
          <w:szCs w:val="24"/>
        </w:rPr>
        <w:t>Telecommunications Policy, 25</w:t>
      </w:r>
      <w:r>
        <w:rPr>
          <w:rFonts w:ascii="Times New Roman" w:hAnsi="Times New Roman" w:eastAsia="Times New Roman" w:cs="Times New Roman"/>
          <w:sz w:val="24"/>
          <w:szCs w:val="24"/>
        </w:rPr>
        <w:t>(4), 249-269.</w:t>
      </w:r>
    </w:p>
    <w:p w14:paraId="0B0D5DFD">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Gupta, S., Lehmann, D. R., and Stuart, J. A. (2016). Valuing customers. </w:t>
      </w:r>
      <w:r>
        <w:rPr>
          <w:rFonts w:ascii="Times New Roman" w:hAnsi="Times New Roman" w:eastAsia="Times New Roman" w:cs="Times New Roman"/>
          <w:i/>
          <w:iCs/>
          <w:sz w:val="24"/>
          <w:szCs w:val="24"/>
        </w:rPr>
        <w:t>Journal of Marketing Research, 41</w:t>
      </w:r>
      <w:r>
        <w:rPr>
          <w:rFonts w:ascii="Times New Roman" w:hAnsi="Times New Roman" w:eastAsia="Times New Roman" w:cs="Times New Roman"/>
          <w:sz w:val="24"/>
          <w:szCs w:val="24"/>
        </w:rPr>
        <w:t>(1), 7-18.</w:t>
      </w:r>
    </w:p>
    <w:p w14:paraId="1ADB58E7">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Guyon, I., and Elisseeff, A. (2003). An introduction to variable and feature selection. </w:t>
      </w:r>
      <w:r>
        <w:rPr>
          <w:rStyle w:val="13"/>
          <w:rFonts w:ascii="Times New Roman" w:hAnsi="Times New Roman" w:cs="Times New Roman"/>
          <w:sz w:val="24"/>
          <w:szCs w:val="24"/>
        </w:rPr>
        <w:t>Journal of Machine Learning Research, 3</w:t>
      </w:r>
      <w:r>
        <w:rPr>
          <w:rFonts w:ascii="Times New Roman" w:hAnsi="Times New Roman" w:cs="Times New Roman"/>
          <w:sz w:val="24"/>
          <w:szCs w:val="24"/>
        </w:rPr>
        <w:t>, 1157-1182.</w:t>
      </w:r>
    </w:p>
    <w:p w14:paraId="6BEE4CEA">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Hastie, T., Tibshirani, R., and Friedman, J. (2009). </w:t>
      </w:r>
      <w:r>
        <w:rPr>
          <w:rStyle w:val="13"/>
          <w:rFonts w:ascii="Times New Roman" w:hAnsi="Times New Roman" w:cs="Times New Roman"/>
          <w:sz w:val="24"/>
          <w:szCs w:val="24"/>
        </w:rPr>
        <w:t>The Elements of Statistical Learning: Data Mining, Inference, and Prediction</w:t>
      </w:r>
      <w:r>
        <w:rPr>
          <w:rFonts w:ascii="Times New Roman" w:hAnsi="Times New Roman" w:cs="Times New Roman"/>
          <w:sz w:val="24"/>
          <w:szCs w:val="24"/>
        </w:rPr>
        <w:t>. Springer.</w:t>
      </w:r>
    </w:p>
    <w:p w14:paraId="30099349">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He, H., and Garcia, E. A. (2019). Learning from imbalanced data. </w:t>
      </w:r>
      <w:r>
        <w:rPr>
          <w:rStyle w:val="13"/>
          <w:rFonts w:ascii="Times New Roman" w:hAnsi="Times New Roman" w:cs="Times New Roman"/>
          <w:sz w:val="24"/>
          <w:szCs w:val="24"/>
        </w:rPr>
        <w:t>IEEE Transactions on Knowledge and Data Engineering, 21</w:t>
      </w:r>
      <w:r>
        <w:rPr>
          <w:rFonts w:ascii="Times New Roman" w:hAnsi="Times New Roman" w:cs="Times New Roman"/>
          <w:sz w:val="24"/>
          <w:szCs w:val="24"/>
        </w:rPr>
        <w:t>(9), 1263-1284.</w:t>
      </w:r>
    </w:p>
    <w:p w14:paraId="7A642F1C">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Homburg, C., and Giering, A. (2021). Personal characteristics as moderators of the relationship between customer satisfaction and loyalty—An empirical analysis. </w:t>
      </w:r>
      <w:r>
        <w:rPr>
          <w:rFonts w:ascii="Times New Roman" w:hAnsi="Times New Roman" w:eastAsia="Times New Roman" w:cs="Times New Roman"/>
          <w:i/>
          <w:iCs/>
          <w:sz w:val="24"/>
          <w:szCs w:val="24"/>
        </w:rPr>
        <w:t>Psychology and Marketing, 18</w:t>
      </w:r>
      <w:r>
        <w:rPr>
          <w:rFonts w:ascii="Times New Roman" w:hAnsi="Times New Roman" w:eastAsia="Times New Roman" w:cs="Times New Roman"/>
          <w:sz w:val="24"/>
          <w:szCs w:val="24"/>
        </w:rPr>
        <w:t>(1), 43-66.</w:t>
      </w:r>
    </w:p>
    <w:p w14:paraId="70702BF9">
      <w:pPr>
        <w:pStyle w:val="17"/>
        <w:spacing w:line="360" w:lineRule="auto"/>
        <w:ind w:left="720" w:hanging="720"/>
        <w:jc w:val="both"/>
      </w:pPr>
      <w:r>
        <w:t xml:space="preserve">Hosmer, D. W., Lemeshow, S., and Sturdivant, R. X. (2013). </w:t>
      </w:r>
      <w:r>
        <w:rPr>
          <w:rStyle w:val="13"/>
        </w:rPr>
        <w:t>Applied Logistic Regression</w:t>
      </w:r>
      <w:r>
        <w:t xml:space="preserve"> (3rd ed.). Wiley.</w:t>
      </w:r>
    </w:p>
    <w:p w14:paraId="1A53D164">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Huang, T., and Wang, M. (2018). Customer Churn Analysis in Telecommunications. Journal of Business Research, 85, 23-34.</w:t>
      </w:r>
    </w:p>
    <w:p w14:paraId="1C94AC64">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Huang, T., and Wang, X. (2018). Network performance and customer loyalty in the telecommunications industry. </w:t>
      </w:r>
      <w:r>
        <w:rPr>
          <w:rFonts w:ascii="Times New Roman" w:hAnsi="Times New Roman" w:eastAsia="Times New Roman" w:cs="Times New Roman"/>
          <w:i/>
          <w:iCs/>
          <w:sz w:val="24"/>
          <w:szCs w:val="24"/>
        </w:rPr>
        <w:t>Journal of Business Research, 85</w:t>
      </w:r>
      <w:r>
        <w:rPr>
          <w:rFonts w:ascii="Times New Roman" w:hAnsi="Times New Roman" w:eastAsia="Times New Roman" w:cs="Times New Roman"/>
          <w:sz w:val="24"/>
          <w:szCs w:val="24"/>
        </w:rPr>
        <w:t>, 1-11.</w:t>
      </w:r>
    </w:p>
    <w:p w14:paraId="0EA6419D">
      <w:pPr>
        <w:pStyle w:val="17"/>
        <w:spacing w:line="360" w:lineRule="auto"/>
        <w:ind w:left="720" w:hanging="720"/>
        <w:jc w:val="both"/>
      </w:pPr>
      <w:r>
        <w:t xml:space="preserve">James, G., Witten, D., Hastie, T., and Tibshirani, R. (2013). </w:t>
      </w:r>
      <w:r>
        <w:rPr>
          <w:rStyle w:val="13"/>
        </w:rPr>
        <w:t>An Introduction to Statistical Learning: With Applications in R</w:t>
      </w:r>
      <w:r>
        <w:t>. Springer.</w:t>
      </w:r>
    </w:p>
    <w:p w14:paraId="1B2FC9E0">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Jiang, Z., and Klein, G. (2009). A discrepancy model of information system personnel turnover. </w:t>
      </w:r>
      <w:r>
        <w:rPr>
          <w:rFonts w:ascii="Times New Roman" w:hAnsi="Times New Roman" w:eastAsia="Times New Roman" w:cs="Times New Roman"/>
          <w:i/>
          <w:iCs/>
          <w:sz w:val="24"/>
          <w:szCs w:val="24"/>
        </w:rPr>
        <w:t>Journal of Management Information Systems, 25</w:t>
      </w:r>
      <w:r>
        <w:rPr>
          <w:rFonts w:ascii="Times New Roman" w:hAnsi="Times New Roman" w:eastAsia="Times New Roman" w:cs="Times New Roman"/>
          <w:sz w:val="24"/>
          <w:szCs w:val="24"/>
        </w:rPr>
        <w:t>(3), 259-284.</w:t>
      </w:r>
    </w:p>
    <w:p w14:paraId="136065CD">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Kantarcioglu, M., Jiang, W., Liu, Y., and Malin, B. (2020). A brief overview of data privacy laws and their impact on AI. </w:t>
      </w:r>
      <w:r>
        <w:rPr>
          <w:rStyle w:val="13"/>
          <w:rFonts w:ascii="Times New Roman" w:hAnsi="Times New Roman" w:cs="Times New Roman"/>
          <w:sz w:val="24"/>
          <w:szCs w:val="24"/>
        </w:rPr>
        <w:t>IEEE Security and Privacy, 18</w:t>
      </w:r>
      <w:r>
        <w:rPr>
          <w:rFonts w:ascii="Times New Roman" w:hAnsi="Times New Roman" w:cs="Times New Roman"/>
          <w:sz w:val="24"/>
          <w:szCs w:val="24"/>
        </w:rPr>
        <w:t>(6), 20-28.</w:t>
      </w:r>
    </w:p>
    <w:p w14:paraId="742E31A0">
      <w:pPr>
        <w:pStyle w:val="17"/>
        <w:spacing w:line="360" w:lineRule="auto"/>
        <w:ind w:left="720" w:hanging="720"/>
        <w:jc w:val="both"/>
      </w:pPr>
      <w:r>
        <w:t xml:space="preserve">Kim, S., Lee, Y., and Ahn, J. H. (2021). Managing customer churn in the telecommunications industry: A customer retention strategy using machine learning models. </w:t>
      </w:r>
      <w:r>
        <w:rPr>
          <w:rStyle w:val="13"/>
          <w:rFonts w:eastAsiaTheme="majorEastAsia"/>
        </w:rPr>
        <w:t>Telecommunications Policy, 45</w:t>
      </w:r>
      <w:r>
        <w:t>(7), 102101.</w:t>
      </w:r>
    </w:p>
    <w:p w14:paraId="2B32C442">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Kleinbaum, D. G., &amp; Klein, M. (2012). </w:t>
      </w:r>
      <w:r>
        <w:rPr>
          <w:rFonts w:ascii="Times New Roman" w:hAnsi="Times New Roman" w:cs="Times New Roman"/>
          <w:i/>
          <w:iCs/>
          <w:sz w:val="24"/>
          <w:szCs w:val="24"/>
        </w:rPr>
        <w:t>Survival Analysis: A Self-Learning Text</w:t>
      </w:r>
      <w:r>
        <w:rPr>
          <w:rFonts w:ascii="Times New Roman" w:hAnsi="Times New Roman" w:cs="Times New Roman"/>
          <w:sz w:val="24"/>
          <w:szCs w:val="24"/>
        </w:rPr>
        <w:t xml:space="preserve"> (3rd ed.). New York: Springer.</w:t>
      </w:r>
    </w:p>
    <w:p w14:paraId="559FD8A4">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Kotler, P., and Keller, K. L. (2016). Marketing Management (15th ed.). Pearson.</w:t>
      </w:r>
    </w:p>
    <w:p w14:paraId="7046DC0C">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Krawczyk, B. (2016). Learning from imbalanced data: Open challenges and future directions. </w:t>
      </w:r>
      <w:r>
        <w:rPr>
          <w:rStyle w:val="13"/>
          <w:rFonts w:ascii="Times New Roman" w:hAnsi="Times New Roman" w:cs="Times New Roman"/>
          <w:sz w:val="24"/>
          <w:szCs w:val="24"/>
        </w:rPr>
        <w:t>Progress in Artificial Intelligence, 5</w:t>
      </w:r>
      <w:r>
        <w:rPr>
          <w:rFonts w:ascii="Times New Roman" w:hAnsi="Times New Roman" w:cs="Times New Roman"/>
          <w:sz w:val="24"/>
          <w:szCs w:val="24"/>
        </w:rPr>
        <w:t>(4), 221-232.</w:t>
      </w:r>
    </w:p>
    <w:p w14:paraId="6974BBB5">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Kshetri, N. (2017). 1 Big Data's Impact on Privacy, Security and Consumer Welfare. In </w:t>
      </w:r>
      <w:r>
        <w:rPr>
          <w:rStyle w:val="13"/>
          <w:rFonts w:ascii="Times New Roman" w:hAnsi="Times New Roman" w:cs="Times New Roman"/>
          <w:sz w:val="24"/>
          <w:szCs w:val="24"/>
        </w:rPr>
        <w:t>Big Data for Development</w:t>
      </w:r>
      <w:r>
        <w:rPr>
          <w:rFonts w:ascii="Times New Roman" w:hAnsi="Times New Roman" w:cs="Times New Roman"/>
          <w:sz w:val="24"/>
          <w:szCs w:val="24"/>
        </w:rPr>
        <w:t xml:space="preserve"> (pp. 37-53). Springer.</w:t>
      </w:r>
    </w:p>
    <w:p w14:paraId="3E51F8A1">
      <w:pPr>
        <w:pStyle w:val="17"/>
        <w:spacing w:line="360" w:lineRule="auto"/>
        <w:ind w:left="720" w:hanging="720"/>
        <w:jc w:val="both"/>
      </w:pPr>
      <w:r>
        <w:t xml:space="preserve">LeCun, Y., Bengio, Y., and Hinton, G. (2015). Deep learning. </w:t>
      </w:r>
      <w:r>
        <w:rPr>
          <w:rStyle w:val="13"/>
        </w:rPr>
        <w:t>Nature, 521</w:t>
      </w:r>
      <w:r>
        <w:t>(7553), 436-444.</w:t>
      </w:r>
    </w:p>
    <w:p w14:paraId="69BC0536">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Lee, H. S. (2020). Understanding customer churn in the telecommunications industry: Using sentiment analysis on customer reviews. </w:t>
      </w:r>
      <w:r>
        <w:rPr>
          <w:rFonts w:ascii="Times New Roman" w:hAnsi="Times New Roman" w:eastAsia="Times New Roman" w:cs="Times New Roman"/>
          <w:i/>
          <w:iCs/>
          <w:sz w:val="24"/>
          <w:szCs w:val="24"/>
        </w:rPr>
        <w:t>Service Business, 14</w:t>
      </w:r>
      <w:r>
        <w:rPr>
          <w:rFonts w:ascii="Times New Roman" w:hAnsi="Times New Roman" w:eastAsia="Times New Roman" w:cs="Times New Roman"/>
          <w:sz w:val="24"/>
          <w:szCs w:val="24"/>
        </w:rPr>
        <w:t>(3), 363-376.</w:t>
      </w:r>
    </w:p>
    <w:p w14:paraId="6D20E8D1">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Lemmens, A., and Croux, C. (2016). Bagging and boosting classification trees to predict churn. </w:t>
      </w:r>
      <w:r>
        <w:rPr>
          <w:rFonts w:ascii="Times New Roman" w:hAnsi="Times New Roman" w:eastAsia="Times New Roman" w:cs="Times New Roman"/>
          <w:i/>
          <w:iCs/>
          <w:sz w:val="24"/>
          <w:szCs w:val="24"/>
        </w:rPr>
        <w:t>Journal of Marketing Research, 43</w:t>
      </w:r>
      <w:r>
        <w:rPr>
          <w:rFonts w:ascii="Times New Roman" w:hAnsi="Times New Roman" w:eastAsia="Times New Roman" w:cs="Times New Roman"/>
          <w:sz w:val="24"/>
          <w:szCs w:val="24"/>
        </w:rPr>
        <w:t>(2), 276-286.</w:t>
      </w:r>
    </w:p>
    <w:p w14:paraId="229091F7">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Li, X., and Liu, Y. (2018). A survey of churn prediction using machine learning techniques. </w:t>
      </w:r>
      <w:r>
        <w:rPr>
          <w:rStyle w:val="13"/>
          <w:rFonts w:ascii="Times New Roman" w:hAnsi="Times New Roman" w:cs="Times New Roman"/>
          <w:sz w:val="24"/>
          <w:szCs w:val="24"/>
        </w:rPr>
        <w:t>Journal of Computer Science and Technology, 33</w:t>
      </w:r>
      <w:r>
        <w:rPr>
          <w:rFonts w:ascii="Times New Roman" w:hAnsi="Times New Roman" w:cs="Times New Roman"/>
          <w:sz w:val="24"/>
          <w:szCs w:val="24"/>
        </w:rPr>
        <w:t>(1), 95-105.</w:t>
      </w:r>
    </w:p>
    <w:p w14:paraId="1F3C63E9">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Lipton, Z. C. (2018). The mythos of model interpretability. </w:t>
      </w:r>
      <w:r>
        <w:rPr>
          <w:rStyle w:val="13"/>
          <w:rFonts w:ascii="Times New Roman" w:hAnsi="Times New Roman" w:cs="Times New Roman"/>
          <w:sz w:val="24"/>
          <w:szCs w:val="24"/>
        </w:rPr>
        <w:t>Communications of the ACM, 61</w:t>
      </w:r>
      <w:r>
        <w:rPr>
          <w:rFonts w:ascii="Times New Roman" w:hAnsi="Times New Roman" w:cs="Times New Roman"/>
          <w:sz w:val="24"/>
          <w:szCs w:val="24"/>
        </w:rPr>
        <w:t>(10), 36-43.</w:t>
      </w:r>
    </w:p>
    <w:p w14:paraId="6AD19771">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Liu, D. R., and Shih, Y. Y. (2015). Integrating AHP and data mining for product recommendation based on customer lifetime value. </w:t>
      </w:r>
      <w:r>
        <w:rPr>
          <w:rFonts w:ascii="Times New Roman" w:hAnsi="Times New Roman" w:eastAsia="Times New Roman" w:cs="Times New Roman"/>
          <w:i/>
          <w:iCs/>
          <w:sz w:val="24"/>
          <w:szCs w:val="24"/>
        </w:rPr>
        <w:t>Information and Management, 42</w:t>
      </w:r>
      <w:r>
        <w:rPr>
          <w:rFonts w:ascii="Times New Roman" w:hAnsi="Times New Roman" w:eastAsia="Times New Roman" w:cs="Times New Roman"/>
          <w:sz w:val="24"/>
          <w:szCs w:val="24"/>
        </w:rPr>
        <w:t>(3), 387-400.</w:t>
      </w:r>
    </w:p>
    <w:p w14:paraId="05ABB3EE">
      <w:pPr>
        <w:pStyle w:val="17"/>
        <w:spacing w:line="360" w:lineRule="auto"/>
        <w:ind w:left="720" w:hanging="720"/>
        <w:jc w:val="both"/>
      </w:pPr>
      <w:r>
        <w:t xml:space="preserve">Lundberg, S. M., and Lee, S.-I. (2017). A unified approach to interpreting model predictions. In </w:t>
      </w:r>
      <w:r>
        <w:rPr>
          <w:rStyle w:val="13"/>
        </w:rPr>
        <w:t>Advances in Neural Information Processing Systems</w:t>
      </w:r>
      <w:r>
        <w:t xml:space="preserve"> (pp. 4765-4774).</w:t>
      </w:r>
    </w:p>
    <w:p w14:paraId="272257E7">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McKinsey and Company. (2021). The State of the French Telecommunications Market. Retrieved from McKinsey</w:t>
      </w:r>
    </w:p>
    <w:p w14:paraId="6B92F35C">
      <w:pPr>
        <w:pStyle w:val="17"/>
        <w:spacing w:line="360" w:lineRule="auto"/>
        <w:ind w:left="720" w:hanging="720"/>
        <w:jc w:val="both"/>
      </w:pPr>
      <w:r>
        <w:t xml:space="preserve">Menard, S. (2002). </w:t>
      </w:r>
      <w:r>
        <w:rPr>
          <w:rStyle w:val="13"/>
        </w:rPr>
        <w:t>Applied Logistic Regression Analysis</w:t>
      </w:r>
      <w:r>
        <w:t xml:space="preserve"> (2nd ed.). SAGE Publications.</w:t>
      </w:r>
    </w:p>
    <w:p w14:paraId="7F8F0455">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Molnar, C. (2020). </w:t>
      </w:r>
      <w:r>
        <w:rPr>
          <w:rStyle w:val="13"/>
          <w:rFonts w:ascii="Times New Roman" w:hAnsi="Times New Roman" w:cs="Times New Roman"/>
          <w:sz w:val="24"/>
          <w:szCs w:val="24"/>
        </w:rPr>
        <w:t>Interpretable Machine Learning: A Guide for Making Black Box Models Explainable</w:t>
      </w:r>
      <w:r>
        <w:rPr>
          <w:rFonts w:ascii="Times New Roman" w:hAnsi="Times New Roman" w:cs="Times New Roman"/>
          <w:sz w:val="24"/>
          <w:szCs w:val="24"/>
        </w:rPr>
        <w:t>. Independently published.</w:t>
      </w:r>
    </w:p>
    <w:p w14:paraId="2CA63115">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Moro, S., Cortez, P., and Rita, P. (2019). A data-driven approach to predict the success of bank telemarketing. Decision Support Systems, 62, 22-31.</w:t>
      </w:r>
    </w:p>
    <w:p w14:paraId="7EB5C45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Newman, N., Levy, D., &amp; Nielsen, R. K. (2015). Reuters Institute Digital News Report 2015. </w:t>
      </w:r>
      <w:r>
        <w:rPr>
          <w:rFonts w:ascii="Times New Roman" w:hAnsi="Times New Roman" w:cs="Times New Roman"/>
          <w:i/>
          <w:iCs/>
          <w:sz w:val="24"/>
          <w:szCs w:val="24"/>
        </w:rPr>
        <w:t>SSRN Electronic Journal</w:t>
      </w:r>
      <w:r>
        <w:rPr>
          <w:rFonts w:ascii="Times New Roman" w:hAnsi="Times New Roman" w:cs="Times New Roman"/>
          <w:sz w:val="24"/>
          <w:szCs w:val="24"/>
        </w:rPr>
        <w:t>. </w:t>
      </w:r>
      <w:r>
        <w:fldChar w:fldCharType="begin"/>
      </w:r>
      <w:r>
        <w:instrText xml:space="preserve"> HYPERLINK "https://doi.org/10.2139/ssrn.2619576" </w:instrText>
      </w:r>
      <w:r>
        <w:fldChar w:fldCharType="separate"/>
      </w:r>
      <w:r>
        <w:rPr>
          <w:rStyle w:val="16"/>
          <w:rFonts w:ascii="Times New Roman" w:hAnsi="Times New Roman" w:cs="Times New Roman"/>
          <w:color w:val="auto"/>
          <w:sz w:val="24"/>
          <w:szCs w:val="24"/>
        </w:rPr>
        <w:t>https://doi.org/10.2139/ssrn.2619576</w:t>
      </w:r>
      <w:r>
        <w:rPr>
          <w:rStyle w:val="16"/>
          <w:rFonts w:ascii="Times New Roman" w:hAnsi="Times New Roman" w:cs="Times New Roman"/>
          <w:color w:val="auto"/>
          <w:sz w:val="24"/>
          <w:szCs w:val="24"/>
        </w:rPr>
        <w:fldChar w:fldCharType="end"/>
      </w:r>
    </w:p>
    <w:p w14:paraId="1E3B773C">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Nguyen, B., and Simkin, L. (2017). The dark side of digital personalization: The paradox of customer loyalty and disloyalty. </w:t>
      </w:r>
      <w:r>
        <w:rPr>
          <w:rStyle w:val="13"/>
          <w:rFonts w:ascii="Times New Roman" w:hAnsi="Times New Roman" w:cs="Times New Roman"/>
          <w:sz w:val="24"/>
          <w:szCs w:val="24"/>
        </w:rPr>
        <w:t>Journal of Business Research, 80</w:t>
      </w:r>
      <w:r>
        <w:rPr>
          <w:rFonts w:ascii="Times New Roman" w:hAnsi="Times New Roman" w:cs="Times New Roman"/>
          <w:sz w:val="24"/>
          <w:szCs w:val="24"/>
        </w:rPr>
        <w:t>, 86-97.</w:t>
      </w:r>
    </w:p>
    <w:p w14:paraId="6A5A030C">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Nguyen, T. H., &amp; Zhou, X. (2020). </w:t>
      </w:r>
      <w:r>
        <w:rPr>
          <w:rFonts w:ascii="Times New Roman" w:hAnsi="Times New Roman" w:cs="Times New Roman"/>
          <w:i/>
          <w:iCs/>
          <w:sz w:val="24"/>
          <w:szCs w:val="24"/>
        </w:rPr>
        <w:t>Customer churn prediction in the telecommunications industry: An evaluation of machine learning techniques.</w:t>
      </w:r>
      <w:r>
        <w:rPr>
          <w:rFonts w:ascii="Times New Roman" w:hAnsi="Times New Roman" w:cs="Times New Roman"/>
          <w:sz w:val="24"/>
          <w:szCs w:val="24"/>
        </w:rPr>
        <w:t xml:space="preserve"> Journal of Big Data, 7(1), 15-29.</w:t>
      </w:r>
    </w:p>
    <w:p w14:paraId="1A33E3CA">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Nigerian Communications Commission. (2023). Industry Statistics. Retrieved from NCC</w:t>
      </w:r>
    </w:p>
    <w:p w14:paraId="53B67C98">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Oladipo, S. A., Yusuf, M. O., &amp; Adeyemi, A. I. (2021). </w:t>
      </w:r>
      <w:r>
        <w:rPr>
          <w:rFonts w:ascii="Times New Roman" w:hAnsi="Times New Roman" w:cs="Times New Roman"/>
          <w:i/>
          <w:iCs/>
          <w:sz w:val="24"/>
          <w:szCs w:val="24"/>
        </w:rPr>
        <w:t>Challenges in customer churn prediction for emerging markets: The Nigerian telecom sector.</w:t>
      </w:r>
      <w:r>
        <w:rPr>
          <w:rFonts w:ascii="Times New Roman" w:hAnsi="Times New Roman" w:cs="Times New Roman"/>
          <w:sz w:val="24"/>
          <w:szCs w:val="24"/>
        </w:rPr>
        <w:t xml:space="preserve"> African Journal of Data Analytics, 12(1), 45-58.</w:t>
      </w:r>
    </w:p>
    <w:p w14:paraId="1AD6C69C">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Oliver, R. L. (2019). A cognitive model of the antecedents and consequences of satisfaction decisions. </w:t>
      </w:r>
      <w:r>
        <w:rPr>
          <w:rStyle w:val="13"/>
          <w:rFonts w:ascii="Times New Roman" w:hAnsi="Times New Roman" w:cs="Times New Roman"/>
          <w:sz w:val="24"/>
          <w:szCs w:val="24"/>
        </w:rPr>
        <w:t>Journal of Marketing Research, 17</w:t>
      </w:r>
      <w:r>
        <w:rPr>
          <w:rFonts w:ascii="Times New Roman" w:hAnsi="Times New Roman" w:cs="Times New Roman"/>
          <w:sz w:val="24"/>
          <w:szCs w:val="24"/>
        </w:rPr>
        <w:t>(4), 460-469.</w:t>
      </w:r>
    </w:p>
    <w:p w14:paraId="3C8E1E05">
      <w:pPr>
        <w:pStyle w:val="17"/>
        <w:spacing w:line="360" w:lineRule="auto"/>
        <w:ind w:left="720" w:hanging="720"/>
        <w:jc w:val="both"/>
      </w:pPr>
      <w:r>
        <w:t xml:space="preserve">Provost, F., and Fawcett, T. (2013). </w:t>
      </w:r>
      <w:r>
        <w:rPr>
          <w:rStyle w:val="13"/>
        </w:rPr>
        <w:t>Data Science for Business: What You Need to Know About Data Mining and Data-Analytic Thinking</w:t>
      </w:r>
      <w:r>
        <w:t>. O'Reilly Media.</w:t>
      </w:r>
    </w:p>
    <w:p w14:paraId="33228D5E">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PwC. (2021). Africa Gearing Up: Future Prospects in Africa for the Transportation and Logistics Industry. Retrieved from PwC</w:t>
      </w:r>
    </w:p>
    <w:p w14:paraId="4F962A09">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Reichheld, F. F., and Sasser, W. E. (1990). Zero defections: Quality comes to services. </w:t>
      </w:r>
      <w:r>
        <w:rPr>
          <w:rFonts w:ascii="Times New Roman" w:hAnsi="Times New Roman" w:eastAsia="Times New Roman" w:cs="Times New Roman"/>
          <w:i/>
          <w:iCs/>
          <w:sz w:val="24"/>
          <w:szCs w:val="24"/>
        </w:rPr>
        <w:t>Harvard Business Review, 68</w:t>
      </w:r>
      <w:r>
        <w:rPr>
          <w:rFonts w:ascii="Times New Roman" w:hAnsi="Times New Roman" w:eastAsia="Times New Roman" w:cs="Times New Roman"/>
          <w:sz w:val="24"/>
          <w:szCs w:val="24"/>
        </w:rPr>
        <w:t>(5), 105-111.</w:t>
      </w:r>
    </w:p>
    <w:p w14:paraId="4ED781C5">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Rudin, C. (2019). Stop explaining black box machine learning models for high stakes decisions and use interpretable models instead. </w:t>
      </w:r>
      <w:r>
        <w:rPr>
          <w:rStyle w:val="13"/>
          <w:rFonts w:ascii="Times New Roman" w:hAnsi="Times New Roman" w:cs="Times New Roman"/>
          <w:sz w:val="24"/>
          <w:szCs w:val="24"/>
        </w:rPr>
        <w:t>Nature Machine Intelligence, 1</w:t>
      </w:r>
      <w:r>
        <w:rPr>
          <w:rFonts w:ascii="Times New Roman" w:hAnsi="Times New Roman" w:cs="Times New Roman"/>
          <w:sz w:val="24"/>
          <w:szCs w:val="24"/>
        </w:rPr>
        <w:t>(5), 206-215.</w:t>
      </w:r>
    </w:p>
    <w:p w14:paraId="3C9A4EFD">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Sharma, P., &amp; Gupta, S. (2018). </w:t>
      </w:r>
      <w:r>
        <w:rPr>
          <w:rFonts w:ascii="Times New Roman" w:hAnsi="Times New Roman" w:cs="Times New Roman"/>
          <w:i/>
          <w:iCs/>
          <w:sz w:val="24"/>
          <w:szCs w:val="24"/>
        </w:rPr>
        <w:t>A comprehensive study on customer churn prediction using machine learning techniques.</w:t>
      </w:r>
      <w:r>
        <w:rPr>
          <w:rFonts w:ascii="Times New Roman" w:hAnsi="Times New Roman" w:cs="Times New Roman"/>
          <w:sz w:val="24"/>
          <w:szCs w:val="24"/>
        </w:rPr>
        <w:t xml:space="preserve"> IEEE Transactions on Computational Social Systems, 5(2), 348-359.</w:t>
      </w:r>
    </w:p>
    <w:p w14:paraId="06D51362">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Smith, A. D. (2019). Billing transparency and customer retention in the telecommunications industry. </w:t>
      </w:r>
      <w:r>
        <w:rPr>
          <w:rFonts w:ascii="Times New Roman" w:hAnsi="Times New Roman" w:eastAsia="Times New Roman" w:cs="Times New Roman"/>
          <w:i/>
          <w:iCs/>
          <w:sz w:val="24"/>
          <w:szCs w:val="24"/>
        </w:rPr>
        <w:t>Journal of Financial Services Marketing, 24</w:t>
      </w:r>
      <w:r>
        <w:rPr>
          <w:rFonts w:ascii="Times New Roman" w:hAnsi="Times New Roman" w:eastAsia="Times New Roman" w:cs="Times New Roman"/>
          <w:sz w:val="24"/>
          <w:szCs w:val="24"/>
        </w:rPr>
        <w:t>(1-2), 38-53.</w:t>
      </w:r>
    </w:p>
    <w:p w14:paraId="3755576A">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Sprague, R. H., and Carlson, E. D. (1982). </w:t>
      </w:r>
      <w:r>
        <w:rPr>
          <w:rStyle w:val="13"/>
          <w:rFonts w:ascii="Times New Roman" w:hAnsi="Times New Roman" w:cs="Times New Roman"/>
          <w:sz w:val="24"/>
          <w:szCs w:val="24"/>
        </w:rPr>
        <w:t>Building Effective Decision Support Systems</w:t>
      </w:r>
      <w:r>
        <w:rPr>
          <w:rFonts w:ascii="Times New Roman" w:hAnsi="Times New Roman" w:cs="Times New Roman"/>
          <w:sz w:val="24"/>
          <w:szCs w:val="24"/>
        </w:rPr>
        <w:t>. Prentice Hall.</w:t>
      </w:r>
    </w:p>
    <w:p w14:paraId="60075BEA">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Sutton, R. S., and Barto, A. G. (2018). </w:t>
      </w:r>
      <w:r>
        <w:rPr>
          <w:rStyle w:val="13"/>
          <w:rFonts w:ascii="Times New Roman" w:hAnsi="Times New Roman" w:cs="Times New Roman"/>
          <w:sz w:val="24"/>
          <w:szCs w:val="24"/>
        </w:rPr>
        <w:t>Reinforcement Learning: An Introduction</w:t>
      </w:r>
      <w:r>
        <w:rPr>
          <w:rFonts w:ascii="Times New Roman" w:hAnsi="Times New Roman" w:cs="Times New Roman"/>
          <w:sz w:val="24"/>
          <w:szCs w:val="24"/>
        </w:rPr>
        <w:t>. MIT Press.</w:t>
      </w:r>
    </w:p>
    <w:p w14:paraId="155E1B1E">
      <w:pPr>
        <w:spacing w:line="360" w:lineRule="auto"/>
        <w:ind w:left="720" w:hanging="720"/>
        <w:jc w:val="both"/>
        <w:rPr>
          <w:rFonts w:ascii="Times New Roman" w:hAnsi="Times New Roman" w:cs="Times New Roman"/>
          <w:sz w:val="24"/>
          <w:szCs w:val="24"/>
          <w:lang w:val="pl-PL"/>
        </w:rPr>
      </w:pPr>
      <w:r>
        <w:rPr>
          <w:rFonts w:ascii="Times New Roman" w:hAnsi="Times New Roman" w:cs="Times New Roman"/>
          <w:sz w:val="24"/>
          <w:szCs w:val="24"/>
        </w:rPr>
        <w:t>Systematic Country Diagnostic. (2020). In </w:t>
      </w:r>
      <w:r>
        <w:rPr>
          <w:rFonts w:ascii="Times New Roman" w:hAnsi="Times New Roman" w:cs="Times New Roman"/>
          <w:i/>
          <w:iCs/>
          <w:sz w:val="24"/>
          <w:szCs w:val="24"/>
        </w:rPr>
        <w:t>World Bank, Washington, DC eBooks</w:t>
      </w:r>
      <w:r>
        <w:rPr>
          <w:rFonts w:ascii="Times New Roman" w:hAnsi="Times New Roman" w:cs="Times New Roman"/>
          <w:sz w:val="24"/>
          <w:szCs w:val="24"/>
        </w:rPr>
        <w:t>. </w:t>
      </w:r>
      <w:r>
        <w:fldChar w:fldCharType="begin"/>
      </w:r>
      <w:r>
        <w:instrText xml:space="preserve"> HYPERLINK "https://doi.org/10.1596/34777" </w:instrText>
      </w:r>
      <w:r>
        <w:fldChar w:fldCharType="separate"/>
      </w:r>
      <w:r>
        <w:rPr>
          <w:rStyle w:val="16"/>
          <w:rFonts w:ascii="Times New Roman" w:hAnsi="Times New Roman" w:cs="Times New Roman"/>
          <w:color w:val="auto"/>
          <w:sz w:val="24"/>
          <w:szCs w:val="24"/>
          <w:lang w:val="pl-PL"/>
        </w:rPr>
        <w:t>https://doi.org/10.1596/34777</w:t>
      </w:r>
      <w:r>
        <w:rPr>
          <w:rStyle w:val="16"/>
          <w:rFonts w:ascii="Times New Roman" w:hAnsi="Times New Roman" w:cs="Times New Roman"/>
          <w:color w:val="auto"/>
          <w:sz w:val="24"/>
          <w:szCs w:val="24"/>
          <w:lang w:val="pl-PL"/>
        </w:rPr>
        <w:fldChar w:fldCharType="end"/>
      </w:r>
    </w:p>
    <w:p w14:paraId="56431215">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lang w:val="pl-PL"/>
        </w:rPr>
        <w:t xml:space="preserve">Ullah, I., Raza, B., Malik, A. K., Imran, M., Islam, S. U., &amp; Kim, S. W. (2019). </w:t>
      </w:r>
      <w:r>
        <w:rPr>
          <w:rFonts w:ascii="Times New Roman" w:hAnsi="Times New Roman" w:cs="Times New Roman"/>
          <w:sz w:val="24"/>
          <w:szCs w:val="24"/>
        </w:rPr>
        <w:t>A Churn Prediction Model using Random Forest: Analysis of machine learning techniques for churn prediction and factor identification in telecom sector. </w:t>
      </w:r>
      <w:r>
        <w:rPr>
          <w:rFonts w:ascii="Times New Roman" w:hAnsi="Times New Roman" w:cs="Times New Roman"/>
          <w:i/>
          <w:iCs/>
          <w:sz w:val="24"/>
          <w:szCs w:val="24"/>
        </w:rPr>
        <w:t>IEEE Access</w:t>
      </w:r>
      <w:r>
        <w:rPr>
          <w:rFonts w:ascii="Times New Roman" w:hAnsi="Times New Roman" w:cs="Times New Roman"/>
          <w:sz w:val="24"/>
          <w:szCs w:val="24"/>
        </w:rPr>
        <w:t>, </w:t>
      </w:r>
      <w:r>
        <w:rPr>
          <w:rFonts w:ascii="Times New Roman" w:hAnsi="Times New Roman" w:cs="Times New Roman"/>
          <w:i/>
          <w:iCs/>
          <w:sz w:val="24"/>
          <w:szCs w:val="24"/>
        </w:rPr>
        <w:t>7</w:t>
      </w:r>
      <w:r>
        <w:rPr>
          <w:rFonts w:ascii="Times New Roman" w:hAnsi="Times New Roman" w:cs="Times New Roman"/>
          <w:sz w:val="24"/>
          <w:szCs w:val="24"/>
        </w:rPr>
        <w:t>, 60134–60149. </w:t>
      </w:r>
      <w:r>
        <w:fldChar w:fldCharType="begin"/>
      </w:r>
      <w:r>
        <w:instrText xml:space="preserve"> HYPERLINK "https://doi.org/10.1109/access.2019.2914999" </w:instrText>
      </w:r>
      <w:r>
        <w:fldChar w:fldCharType="separate"/>
      </w:r>
      <w:r>
        <w:rPr>
          <w:rStyle w:val="16"/>
          <w:rFonts w:ascii="Times New Roman" w:hAnsi="Times New Roman" w:cs="Times New Roman"/>
          <w:color w:val="auto"/>
          <w:sz w:val="24"/>
          <w:szCs w:val="24"/>
        </w:rPr>
        <w:t>https://doi.org/10.1109/access.2019.2914999</w:t>
      </w:r>
      <w:r>
        <w:rPr>
          <w:rStyle w:val="16"/>
          <w:rFonts w:ascii="Times New Roman" w:hAnsi="Times New Roman" w:cs="Times New Roman"/>
          <w:color w:val="auto"/>
          <w:sz w:val="24"/>
          <w:szCs w:val="24"/>
        </w:rPr>
        <w:fldChar w:fldCharType="end"/>
      </w:r>
    </w:p>
    <w:p w14:paraId="661994B5">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Verhoef, P. C. (2013). Understanding the effect of customer relationship management efforts on customer retention and customer share development. </w:t>
      </w:r>
      <w:r>
        <w:rPr>
          <w:rFonts w:ascii="Times New Roman" w:hAnsi="Times New Roman" w:eastAsia="Times New Roman" w:cs="Times New Roman"/>
          <w:i/>
          <w:iCs/>
          <w:sz w:val="24"/>
          <w:szCs w:val="24"/>
        </w:rPr>
        <w:t>Journal of Marketing, 67</w:t>
      </w:r>
      <w:r>
        <w:rPr>
          <w:rFonts w:ascii="Times New Roman" w:hAnsi="Times New Roman" w:eastAsia="Times New Roman" w:cs="Times New Roman"/>
          <w:sz w:val="24"/>
          <w:szCs w:val="24"/>
        </w:rPr>
        <w:t>(4), 30-45.</w:t>
      </w:r>
    </w:p>
    <w:p w14:paraId="7E6ABEDD">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Verhoef, P. C., and Lemon, K. N. (2010). Successful customer value management: Key lessons and emerging trends. </w:t>
      </w:r>
      <w:r>
        <w:rPr>
          <w:rFonts w:ascii="Times New Roman" w:hAnsi="Times New Roman" w:eastAsia="Times New Roman" w:cs="Times New Roman"/>
          <w:i/>
          <w:iCs/>
          <w:sz w:val="24"/>
          <w:szCs w:val="24"/>
        </w:rPr>
        <w:t>European Management Journal, 28</w:t>
      </w:r>
      <w:r>
        <w:rPr>
          <w:rFonts w:ascii="Times New Roman" w:hAnsi="Times New Roman" w:eastAsia="Times New Roman" w:cs="Times New Roman"/>
          <w:sz w:val="24"/>
          <w:szCs w:val="24"/>
        </w:rPr>
        <w:t>(1), 49-61.</w:t>
      </w:r>
    </w:p>
    <w:p w14:paraId="60291FB1">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Verhoef, P. C., Lemon, K. N., Parasuraman, A., Roggeveen, A. L., Tsiros, M., and Schlesinger, L. A. (2016). Customer experience creation: Determinants, dynamics and management strategies. </w:t>
      </w:r>
      <w:r>
        <w:rPr>
          <w:rStyle w:val="13"/>
          <w:rFonts w:ascii="Times New Roman" w:hAnsi="Times New Roman" w:cs="Times New Roman"/>
          <w:sz w:val="24"/>
          <w:szCs w:val="24"/>
        </w:rPr>
        <w:t>Journal of Retailing, 92</w:t>
      </w:r>
      <w:r>
        <w:rPr>
          <w:rFonts w:ascii="Times New Roman" w:hAnsi="Times New Roman" w:cs="Times New Roman"/>
          <w:sz w:val="24"/>
          <w:szCs w:val="24"/>
        </w:rPr>
        <w:t>(2), 127-144.</w:t>
      </w:r>
    </w:p>
    <w:p w14:paraId="24B1A970">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Vlachos, I. (2018). Corporate governance practices and firm performance: Evidence from the telecommunications industry. </w:t>
      </w:r>
      <w:r>
        <w:rPr>
          <w:rFonts w:ascii="Times New Roman" w:hAnsi="Times New Roman" w:eastAsia="Times New Roman" w:cs="Times New Roman"/>
          <w:i/>
          <w:iCs/>
          <w:sz w:val="24"/>
          <w:szCs w:val="24"/>
        </w:rPr>
        <w:t>Journal of Corporate Governance, 16</w:t>
      </w:r>
      <w:r>
        <w:rPr>
          <w:rFonts w:ascii="Times New Roman" w:hAnsi="Times New Roman" w:eastAsia="Times New Roman" w:cs="Times New Roman"/>
          <w:sz w:val="24"/>
          <w:szCs w:val="24"/>
        </w:rPr>
        <w:t>(4), 620-632.</w:t>
      </w:r>
    </w:p>
    <w:p w14:paraId="4EBDE2E3">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Wang, R. Y., and Strong, D. M. (1996). Beyond accuracy: What data quality means to data consumers. </w:t>
      </w:r>
      <w:r>
        <w:rPr>
          <w:rStyle w:val="13"/>
          <w:rFonts w:ascii="Times New Roman" w:hAnsi="Times New Roman" w:cs="Times New Roman"/>
          <w:sz w:val="24"/>
          <w:szCs w:val="24"/>
        </w:rPr>
        <w:t>Journal of Management Information Systems, 12</w:t>
      </w:r>
      <w:r>
        <w:rPr>
          <w:rFonts w:ascii="Times New Roman" w:hAnsi="Times New Roman" w:cs="Times New Roman"/>
          <w:sz w:val="24"/>
          <w:szCs w:val="24"/>
        </w:rPr>
        <w:t>(4), 5-33.</w:t>
      </w:r>
    </w:p>
    <w:p w14:paraId="65B5F6F4">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Wei, C. P., and Chiu, I. T. (2022). Turning telecommunications call details to churn prediction: A data mining approach. </w:t>
      </w:r>
      <w:r>
        <w:rPr>
          <w:rFonts w:ascii="Times New Roman" w:hAnsi="Times New Roman" w:eastAsia="Times New Roman" w:cs="Times New Roman"/>
          <w:i/>
          <w:iCs/>
          <w:sz w:val="24"/>
          <w:szCs w:val="24"/>
        </w:rPr>
        <w:t>Expert Systems with Applications, 23</w:t>
      </w:r>
      <w:r>
        <w:rPr>
          <w:rFonts w:ascii="Times New Roman" w:hAnsi="Times New Roman" w:eastAsia="Times New Roman" w:cs="Times New Roman"/>
          <w:sz w:val="24"/>
          <w:szCs w:val="24"/>
        </w:rPr>
        <w:t>(2), 103-112.</w:t>
      </w:r>
    </w:p>
    <w:p w14:paraId="10CFDC57">
      <w:pPr>
        <w:spacing w:before="100" w:beforeAutospacing="1" w:after="100" w:afterAutospacing="1" w:line="36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Wirtz, J., and Lihotzky, N. (2023). Customer churn in the mobile telecommunications industry: Predicting a successful strategy. </w:t>
      </w:r>
      <w:r>
        <w:rPr>
          <w:rFonts w:ascii="Times New Roman" w:hAnsi="Times New Roman" w:eastAsia="Times New Roman" w:cs="Times New Roman"/>
          <w:i/>
          <w:iCs/>
          <w:sz w:val="24"/>
          <w:szCs w:val="24"/>
        </w:rPr>
        <w:t>Journal of Service Research, 5</w:t>
      </w:r>
      <w:r>
        <w:rPr>
          <w:rFonts w:ascii="Times New Roman" w:hAnsi="Times New Roman" w:eastAsia="Times New Roman" w:cs="Times New Roman"/>
          <w:sz w:val="24"/>
          <w:szCs w:val="24"/>
        </w:rPr>
        <w:t>(4), 363-377.</w:t>
      </w:r>
    </w:p>
    <w:p w14:paraId="1144A616">
      <w:pPr>
        <w:spacing w:before="100" w:beforeAutospacing="1" w:after="100" w:afterAutospacing="1"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Xu, Y., Goodacre, R., and He, F. (2020). The use of artificial intelligence to predict customer churn in telecommunications industry. </w:t>
      </w:r>
      <w:r>
        <w:rPr>
          <w:rStyle w:val="13"/>
          <w:rFonts w:ascii="Times New Roman" w:hAnsi="Times New Roman" w:cs="Times New Roman"/>
          <w:sz w:val="24"/>
          <w:szCs w:val="24"/>
        </w:rPr>
        <w:t>International Journal of Automation and Computing, 17</w:t>
      </w:r>
      <w:r>
        <w:rPr>
          <w:rFonts w:ascii="Times New Roman" w:hAnsi="Times New Roman" w:cs="Times New Roman"/>
          <w:sz w:val="24"/>
          <w:szCs w:val="24"/>
        </w:rPr>
        <w:t>(4), 477-491.</w:t>
      </w:r>
    </w:p>
    <w:p w14:paraId="11A4617A">
      <w:pPr>
        <w:pStyle w:val="17"/>
        <w:spacing w:line="360" w:lineRule="auto"/>
        <w:ind w:left="720" w:hanging="720"/>
        <w:jc w:val="both"/>
      </w:pPr>
      <w:r>
        <w:t xml:space="preserve">Yang, Z., and Peterson, R. T. (2014). Customer perceived value, satisfaction, and loyalty: The role of switching costs. </w:t>
      </w:r>
      <w:r>
        <w:rPr>
          <w:rStyle w:val="13"/>
          <w:rFonts w:eastAsiaTheme="majorEastAsia"/>
        </w:rPr>
        <w:t>Psychology and Marketing, 21</w:t>
      </w:r>
      <w:r>
        <w:t>(10), 799-822.</w:t>
      </w:r>
    </w:p>
    <w:p w14:paraId="6A3C43BC">
      <w:pPr>
        <w:spacing w:after="0" w:line="360" w:lineRule="auto"/>
        <w:rPr>
          <w:rFonts w:ascii="Times New Roman" w:hAnsi="Times New Roman" w:cs="Times New Roman"/>
          <w:b/>
          <w:sz w:val="24"/>
          <w:szCs w:val="24"/>
        </w:rPr>
      </w:pPr>
    </w:p>
    <w:p w14:paraId="24FF68E7">
      <w:pPr>
        <w:spacing w:line="360" w:lineRule="auto"/>
      </w:pPr>
    </w:p>
    <w:sectPr>
      <w:pgSz w:w="12240" w:h="15840"/>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Roboto">
    <w:panose1 w:val="02000000000000000000"/>
    <w:charset w:val="00"/>
    <w:family w:val="auto"/>
    <w:pitch w:val="default"/>
    <w:sig w:usb0="E00002FF" w:usb1="5000205B" w:usb2="0000002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FiraCode Nerd Font">
    <w:panose1 w:val="02000009000000000000"/>
    <w:charset w:val="00"/>
    <w:family w:val="auto"/>
    <w:pitch w:val="default"/>
    <w:sig w:usb0="E00002EF" w:usb1="1201F9FB" w:usb2="02002038"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8D887E"/>
    <w:multiLevelType w:val="multilevel"/>
    <w:tmpl w:val="D48D887E"/>
    <w:lvl w:ilvl="0" w:tentative="0">
      <w:start w:val="1"/>
      <w:numFmt w:val="decimal"/>
      <w:lvlText w:val="%1."/>
      <w:lvlJc w:val="left"/>
      <w:pPr>
        <w:ind w:left="720" w:hanging="360"/>
      </w:pPr>
    </w:lvl>
    <w:lvl w:ilvl="1" w:tentative="0">
      <w:start w:val="3"/>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
    <w:nsid w:val="044734F7"/>
    <w:multiLevelType w:val="multilevel"/>
    <w:tmpl w:val="044734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015FBD"/>
    <w:multiLevelType w:val="multilevel"/>
    <w:tmpl w:val="0B015F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2C24018"/>
    <w:multiLevelType w:val="multilevel"/>
    <w:tmpl w:val="12C240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4650F4E"/>
    <w:multiLevelType w:val="multilevel"/>
    <w:tmpl w:val="14650F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C121F19"/>
    <w:multiLevelType w:val="multilevel"/>
    <w:tmpl w:val="1C121F1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F5360B3"/>
    <w:multiLevelType w:val="multilevel"/>
    <w:tmpl w:val="1F5360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6E37A22"/>
    <w:multiLevelType w:val="multilevel"/>
    <w:tmpl w:val="26E37A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B5F2711"/>
    <w:multiLevelType w:val="multilevel"/>
    <w:tmpl w:val="2B5F27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FC54236"/>
    <w:multiLevelType w:val="multilevel"/>
    <w:tmpl w:val="2FC542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F6120A7"/>
    <w:multiLevelType w:val="multilevel"/>
    <w:tmpl w:val="3F6120A7"/>
    <w:lvl w:ilvl="0" w:tentative="0">
      <w:start w:val="1"/>
      <w:numFmt w:val="decimal"/>
      <w:lvlText w:val="%1."/>
      <w:lvlJc w:val="left"/>
      <w:pPr>
        <w:ind w:left="720" w:hanging="360"/>
      </w:pPr>
    </w:lvl>
    <w:lvl w:ilvl="1" w:tentative="0">
      <w:start w:val="2"/>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1">
    <w:nsid w:val="41837F0A"/>
    <w:multiLevelType w:val="multilevel"/>
    <w:tmpl w:val="41837F0A"/>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44C45351"/>
    <w:multiLevelType w:val="multilevel"/>
    <w:tmpl w:val="44C453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BFE07CC"/>
    <w:multiLevelType w:val="multilevel"/>
    <w:tmpl w:val="4BFE07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51F2718B"/>
    <w:multiLevelType w:val="multilevel"/>
    <w:tmpl w:val="51F271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A7F0959"/>
    <w:multiLevelType w:val="multilevel"/>
    <w:tmpl w:val="5A7F09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AB92F95"/>
    <w:multiLevelType w:val="multilevel"/>
    <w:tmpl w:val="5AB92F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3190AE2"/>
    <w:multiLevelType w:val="multilevel"/>
    <w:tmpl w:val="63190AE2"/>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668252B0"/>
    <w:multiLevelType w:val="multilevel"/>
    <w:tmpl w:val="668252B0"/>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81F2D9A"/>
    <w:multiLevelType w:val="multilevel"/>
    <w:tmpl w:val="681F2D9A"/>
    <w:lvl w:ilvl="0" w:tentative="0">
      <w:start w:val="1"/>
      <w:numFmt w:val="decimal"/>
      <w:lvlText w:val="%1."/>
      <w:lvlJc w:val="left"/>
      <w:pPr>
        <w:ind w:left="720" w:hanging="360"/>
      </w:pPr>
    </w:lvl>
    <w:lvl w:ilvl="1" w:tentative="0">
      <w:start w:val="3"/>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0">
    <w:nsid w:val="6EAA4AA6"/>
    <w:multiLevelType w:val="multilevel"/>
    <w:tmpl w:val="6EAA4A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711327AA"/>
    <w:multiLevelType w:val="multilevel"/>
    <w:tmpl w:val="711327A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792B2D23"/>
    <w:multiLevelType w:val="multilevel"/>
    <w:tmpl w:val="792B2D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18"/>
  </w:num>
  <w:num w:numId="3">
    <w:abstractNumId w:val="17"/>
  </w:num>
  <w:num w:numId="4">
    <w:abstractNumId w:val="10"/>
  </w:num>
  <w:num w:numId="5">
    <w:abstractNumId w:val="19"/>
  </w:num>
  <w:num w:numId="6">
    <w:abstractNumId w:val="0"/>
  </w:num>
  <w:num w:numId="7">
    <w:abstractNumId w:val="8"/>
  </w:num>
  <w:num w:numId="8">
    <w:abstractNumId w:val="5"/>
  </w:num>
  <w:num w:numId="9">
    <w:abstractNumId w:val="20"/>
  </w:num>
  <w:num w:numId="10">
    <w:abstractNumId w:val="12"/>
  </w:num>
  <w:num w:numId="11">
    <w:abstractNumId w:val="14"/>
  </w:num>
  <w:num w:numId="12">
    <w:abstractNumId w:val="22"/>
  </w:num>
  <w:num w:numId="13">
    <w:abstractNumId w:val="16"/>
  </w:num>
  <w:num w:numId="14">
    <w:abstractNumId w:val="15"/>
  </w:num>
  <w:num w:numId="15">
    <w:abstractNumId w:val="9"/>
  </w:num>
  <w:num w:numId="16">
    <w:abstractNumId w:val="3"/>
  </w:num>
  <w:num w:numId="17">
    <w:abstractNumId w:val="4"/>
  </w:num>
  <w:num w:numId="18">
    <w:abstractNumId w:val="1"/>
  </w:num>
  <w:num w:numId="19">
    <w:abstractNumId w:val="6"/>
  </w:num>
  <w:num w:numId="20">
    <w:abstractNumId w:val="21"/>
  </w:num>
  <w:num w:numId="21">
    <w:abstractNumId w:val="2"/>
  </w:num>
  <w:num w:numId="22">
    <w:abstractNumId w:val="13"/>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F5B"/>
    <w:rsid w:val="00195AAC"/>
    <w:rsid w:val="00416227"/>
    <w:rsid w:val="00975A0E"/>
    <w:rsid w:val="00C96B42"/>
    <w:rsid w:val="00EF5A94"/>
    <w:rsid w:val="00F75F5B"/>
    <w:rsid w:val="00FF0F69"/>
    <w:rsid w:val="08965AA3"/>
    <w:rsid w:val="09E542D5"/>
    <w:rsid w:val="1175042E"/>
    <w:rsid w:val="1FA56F6D"/>
    <w:rsid w:val="211B62A5"/>
    <w:rsid w:val="24165637"/>
    <w:rsid w:val="268662EE"/>
    <w:rsid w:val="326B3D4B"/>
    <w:rsid w:val="3AA85CCA"/>
    <w:rsid w:val="3BD57E7A"/>
    <w:rsid w:val="45527B93"/>
    <w:rsid w:val="45EA3085"/>
    <w:rsid w:val="470D2C13"/>
    <w:rsid w:val="47BF13CA"/>
    <w:rsid w:val="49F71F8C"/>
    <w:rsid w:val="4D3A6F28"/>
    <w:rsid w:val="524E3D9E"/>
    <w:rsid w:val="58674306"/>
    <w:rsid w:val="5D023849"/>
    <w:rsid w:val="6B2A2D08"/>
    <w:rsid w:val="734D2A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24"/>
    <w:qFormat/>
    <w:uiPriority w:val="9"/>
    <w:pPr>
      <w:keepNext/>
      <w:keepLines/>
      <w:spacing w:before="360" w:after="80"/>
      <w:outlineLvl w:val="0"/>
    </w:pPr>
    <w:rPr>
      <w:rFonts w:asciiTheme="majorAscii" w:hAnsiTheme="majorAscii" w:eastAsiaTheme="majorEastAsia" w:cstheme="majorBidi"/>
      <w:color w:val="2F5597" w:themeColor="accent1" w:themeShade="BF"/>
      <w:sz w:val="40"/>
      <w:szCs w:val="40"/>
    </w:rPr>
  </w:style>
  <w:style w:type="paragraph" w:styleId="3">
    <w:name w:val="heading 2"/>
    <w:basedOn w:val="1"/>
    <w:next w:val="1"/>
    <w:link w:val="28"/>
    <w:unhideWhenUsed/>
    <w:qFormat/>
    <w:uiPriority w:val="9"/>
    <w:pPr>
      <w:keepNext/>
      <w:keepLines/>
      <w:spacing w:before="160" w:after="80" w:line="480" w:lineRule="auto"/>
      <w:outlineLvl w:val="1"/>
    </w:pPr>
    <w:rPr>
      <w:rFonts w:asciiTheme="majorAscii" w:hAnsiTheme="majorAscii" w:eastAsiaTheme="majorEastAsia" w:cstheme="majorBidi"/>
      <w:color w:val="2F5597" w:themeColor="accent1" w:themeShade="BF"/>
      <w:sz w:val="32"/>
      <w:szCs w:val="32"/>
    </w:rPr>
  </w:style>
  <w:style w:type="paragraph" w:styleId="4">
    <w:name w:val="heading 3"/>
    <w:basedOn w:val="1"/>
    <w:next w:val="1"/>
    <w:link w:val="25"/>
    <w:unhideWhenUsed/>
    <w:qFormat/>
    <w:uiPriority w:val="9"/>
    <w:pPr>
      <w:keepNext/>
      <w:keepLines/>
      <w:spacing w:before="160" w:after="80"/>
      <w:outlineLvl w:val="2"/>
    </w:pPr>
    <w:rPr>
      <w:rFonts w:asciiTheme="minorAscii" w:hAnsiTheme="minorAscii" w:eastAsiaTheme="majorEastAsia" w:cstheme="majorBidi"/>
      <w:color w:val="2F5597" w:themeColor="accent1" w:themeShade="BF"/>
      <w:sz w:val="28"/>
      <w:szCs w:val="28"/>
    </w:rPr>
  </w:style>
  <w:style w:type="paragraph" w:styleId="5">
    <w:name w:val="heading 4"/>
    <w:basedOn w:val="1"/>
    <w:next w:val="1"/>
    <w:link w:val="26"/>
    <w:unhideWhenUsed/>
    <w:qFormat/>
    <w:uiPriority w:val="9"/>
    <w:pPr>
      <w:keepNext/>
      <w:keepLines/>
      <w:spacing w:before="80" w:after="40"/>
      <w:outlineLvl w:val="3"/>
    </w:pPr>
    <w:rPr>
      <w:rFonts w:asciiTheme="minorAscii" w:hAnsiTheme="minorAscii" w:eastAsiaTheme="majorEastAsia" w:cstheme="majorBidi"/>
      <w:i/>
      <w:iCs/>
      <w:color w:val="2F5597" w:themeColor="accent1" w:themeShade="BF"/>
    </w:rPr>
  </w:style>
  <w:style w:type="paragraph" w:styleId="6">
    <w:name w:val="heading 5"/>
    <w:basedOn w:val="1"/>
    <w:next w:val="1"/>
    <w:link w:val="27"/>
    <w:unhideWhenUsed/>
    <w:qFormat/>
    <w:uiPriority w:val="9"/>
    <w:pPr>
      <w:keepNext/>
      <w:keepLines/>
      <w:spacing w:before="80" w:after="40"/>
      <w:outlineLvl w:val="4"/>
    </w:pPr>
    <w:rPr>
      <w:rFonts w:asciiTheme="minorAscii" w:hAnsiTheme="minorAscii" w:eastAsiaTheme="majorEastAsia" w:cstheme="majorBidi"/>
      <w:color w:val="2F5597" w:themeColor="accent1" w:themeShade="BF"/>
    </w:rPr>
  </w:style>
  <w:style w:type="paragraph" w:styleId="7">
    <w:name w:val="heading 6"/>
    <w:basedOn w:val="1"/>
    <w:next w:val="1"/>
    <w:link w:val="29"/>
    <w:unhideWhenUsed/>
    <w:qFormat/>
    <w:uiPriority w:val="9"/>
    <w:pPr>
      <w:keepNext/>
      <w:keepLines/>
      <w:spacing w:before="40" w:after="0"/>
      <w:outlineLvl w:val="5"/>
    </w:pPr>
    <w:rPr>
      <w:rFonts w:asciiTheme="minorAscii" w:hAnsiTheme="minorAsci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unhideWhenUsed/>
    <w:qFormat/>
    <w:uiPriority w:val="9"/>
    <w:pPr>
      <w:keepNext/>
      <w:keepLines/>
      <w:spacing w:before="40" w:after="0"/>
      <w:outlineLvl w:val="6"/>
    </w:pPr>
    <w:rPr>
      <w:rFonts w:asciiTheme="minorAscii" w:hAnsiTheme="minorAsci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unhideWhenUsed/>
    <w:qFormat/>
    <w:uiPriority w:val="9"/>
    <w:pPr>
      <w:keepNext/>
      <w:keepLines/>
      <w:spacing w:after="0"/>
      <w:outlineLvl w:val="7"/>
    </w:pPr>
    <w:rPr>
      <w:rFonts w:asciiTheme="minorAscii" w:hAnsiTheme="minorAsci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unhideWhenUsed/>
    <w:qFormat/>
    <w:uiPriority w:val="9"/>
    <w:pPr>
      <w:keepNext/>
      <w:keepLines/>
      <w:spacing w:after="0"/>
      <w:outlineLvl w:val="8"/>
    </w:pPr>
    <w:rPr>
      <w:rFonts w:asciiTheme="minorAscii" w:hAnsiTheme="minorAsci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3"/>
    <w:unhideWhenUsed/>
    <w:qFormat/>
    <w:uiPriority w:val="99"/>
    <w:pPr>
      <w:tabs>
        <w:tab w:val="center" w:pos="4680"/>
        <w:tab w:val="right" w:pos="9360"/>
      </w:tabs>
      <w:spacing w:after="0" w:line="240" w:lineRule="auto"/>
    </w:pPr>
  </w:style>
  <w:style w:type="paragraph" w:styleId="15">
    <w:name w:val="header"/>
    <w:basedOn w:val="1"/>
    <w:link w:val="42"/>
    <w:unhideWhenUsed/>
    <w:qFormat/>
    <w:uiPriority w:val="99"/>
    <w:pPr>
      <w:tabs>
        <w:tab w:val="center" w:pos="4680"/>
        <w:tab w:val="right" w:pos="9360"/>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8">
    <w:name w:val="Strong"/>
    <w:basedOn w:val="11"/>
    <w:qFormat/>
    <w:uiPriority w:val="22"/>
    <w:rPr>
      <w:b/>
      <w:bCs/>
    </w:rPr>
  </w:style>
  <w:style w:type="paragraph" w:styleId="19">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20"/>
    </w:pPr>
  </w:style>
  <w:style w:type="character" w:customStyle="1" w:styleId="24">
    <w:name w:val="Heading 1 Char"/>
    <w:basedOn w:val="11"/>
    <w:link w:val="2"/>
    <w:qFormat/>
    <w:uiPriority w:val="9"/>
    <w:rPr>
      <w:rFonts w:asciiTheme="majorAscii" w:hAnsiTheme="majorAscii" w:eastAsiaTheme="majorEastAsia" w:cstheme="majorBidi"/>
      <w:color w:val="2F5597" w:themeColor="accent1" w:themeShade="BF"/>
      <w:sz w:val="40"/>
      <w:szCs w:val="40"/>
    </w:rPr>
  </w:style>
  <w:style w:type="character" w:customStyle="1" w:styleId="25">
    <w:name w:val="Heading 3 Char"/>
    <w:basedOn w:val="11"/>
    <w:link w:val="4"/>
    <w:semiHidden/>
    <w:qFormat/>
    <w:uiPriority w:val="9"/>
    <w:rPr>
      <w:rFonts w:asciiTheme="minorAscii" w:hAnsiTheme="minorAscii" w:eastAsiaTheme="majorEastAsia" w:cstheme="majorBidi"/>
      <w:color w:val="2F5597" w:themeColor="accent1" w:themeShade="BF"/>
      <w:sz w:val="28"/>
      <w:szCs w:val="28"/>
    </w:rPr>
  </w:style>
  <w:style w:type="character" w:customStyle="1" w:styleId="26">
    <w:name w:val="Heading 4 Char"/>
    <w:basedOn w:val="11"/>
    <w:link w:val="5"/>
    <w:semiHidden/>
    <w:qFormat/>
    <w:uiPriority w:val="9"/>
    <w:rPr>
      <w:rFonts w:asciiTheme="minorAscii" w:hAnsiTheme="minorAscii" w:eastAsiaTheme="majorEastAsia" w:cstheme="majorBidi"/>
      <w:i/>
      <w:iCs/>
      <w:color w:val="2F5597" w:themeColor="accent1" w:themeShade="BF"/>
    </w:rPr>
  </w:style>
  <w:style w:type="character" w:customStyle="1" w:styleId="27">
    <w:name w:val="Heading 5 Char"/>
    <w:basedOn w:val="11"/>
    <w:link w:val="6"/>
    <w:semiHidden/>
    <w:qFormat/>
    <w:uiPriority w:val="9"/>
    <w:rPr>
      <w:rFonts w:asciiTheme="minorAscii" w:hAnsiTheme="minorAscii" w:eastAsiaTheme="majorEastAsia" w:cstheme="majorBidi"/>
      <w:color w:val="2F5597" w:themeColor="accent1" w:themeShade="BF"/>
    </w:rPr>
  </w:style>
  <w:style w:type="character" w:customStyle="1" w:styleId="28">
    <w:name w:val="Heading 2 Char"/>
    <w:link w:val="3"/>
    <w:qFormat/>
    <w:uiPriority w:val="9"/>
    <w:rPr>
      <w:rFonts w:asciiTheme="majorAscii" w:hAnsiTheme="majorAscii" w:eastAsiaTheme="majorEastAsia" w:cstheme="majorBidi"/>
      <w:color w:val="2F5597" w:themeColor="accent1" w:themeShade="BF"/>
      <w:kern w:val="0"/>
      <w:sz w:val="32"/>
      <w:szCs w:val="32"/>
      <w:lang w:val="en-US" w:eastAsia="en-US" w:bidi="ar-SA"/>
      <w14:ligatures w14:val="none"/>
    </w:rPr>
  </w:style>
  <w:style w:type="character" w:customStyle="1" w:styleId="29">
    <w:name w:val="Heading 6 Char"/>
    <w:basedOn w:val="11"/>
    <w:link w:val="7"/>
    <w:semiHidden/>
    <w:qFormat/>
    <w:uiPriority w:val="9"/>
    <w:rPr>
      <w:rFonts w:asciiTheme="minorAscii" w:hAnsiTheme="minorAsci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asciiTheme="minorAscii" w:hAnsiTheme="minorAsci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asciiTheme="minorAscii" w:hAnsiTheme="minorAsci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asciiTheme="minorAscii" w:hAnsiTheme="minorAsci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Intense Quote Char"/>
    <w:basedOn w:val="11"/>
    <w:link w:val="39"/>
    <w:qFormat/>
    <w:uiPriority w:val="30"/>
    <w:rPr>
      <w:i/>
      <w:iCs/>
      <w:color w:val="2F5597" w:themeColor="accent1" w:themeShade="BF"/>
    </w:rPr>
  </w:style>
  <w:style w:type="character" w:customStyle="1" w:styleId="41">
    <w:name w:val="Intense Reference"/>
    <w:basedOn w:val="11"/>
    <w:qFormat/>
    <w:uiPriority w:val="32"/>
    <w:rPr>
      <w:b/>
      <w:bCs/>
      <w:smallCaps/>
      <w:color w:val="2F5597" w:themeColor="accent1" w:themeShade="BF"/>
      <w:spacing w:val="5"/>
    </w:rPr>
  </w:style>
  <w:style w:type="character" w:customStyle="1" w:styleId="42">
    <w:name w:val="Header Char"/>
    <w:basedOn w:val="11"/>
    <w:link w:val="15"/>
    <w:qFormat/>
    <w:uiPriority w:val="99"/>
    <w:rPr>
      <w:kern w:val="0"/>
      <w:sz w:val="22"/>
      <w:szCs w:val="22"/>
      <w14:ligatures w14:val="none"/>
    </w:rPr>
  </w:style>
  <w:style w:type="character" w:customStyle="1" w:styleId="43">
    <w:name w:val="Footer Char"/>
    <w:basedOn w:val="11"/>
    <w:link w:val="14"/>
    <w:qFormat/>
    <w:uiPriority w:val="99"/>
    <w:rPr>
      <w:kern w:val="0"/>
      <w:sz w:val="22"/>
      <w:szCs w:val="22"/>
      <w14:ligatures w14:val="none"/>
    </w:rPr>
  </w:style>
  <w:style w:type="paragraph" w:customStyle="1" w:styleId="44">
    <w:name w:val="TOC Heading"/>
    <w:basedOn w:val="2"/>
    <w:next w:val="1"/>
    <w:unhideWhenUsed/>
    <w:qFormat/>
    <w:uiPriority w:val="39"/>
    <w:pPr>
      <w:spacing w:before="240" w:after="0"/>
      <w:outlineLvl w:val="9"/>
    </w:pPr>
    <w:rPr>
      <w:sz w:val="32"/>
      <w:szCs w:val="32"/>
    </w:rPr>
  </w:style>
  <w:style w:type="character" w:styleId="45">
    <w:name w:val="Placeholder Text"/>
    <w:basedOn w:val="11"/>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88</Pages>
  <Words>22422</Words>
  <Characters>127807</Characters>
  <Lines>1065</Lines>
  <Paragraphs>299</Paragraphs>
  <TotalTime>0</TotalTime>
  <ScaleCrop>false</ScaleCrop>
  <LinksUpToDate>false</LinksUpToDate>
  <CharactersWithSpaces>149930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2025-07-17T13:55:00Z</dcterms:created>
  <dc:creator>Daniel Asuquo</dc:creator>
  <cp:lastModifiedBy>CryptoKingXavier</cp:lastModifiedBy>
  <dcterms:modified xsi:type="dcterms:W3CDTF">2025-09-18T20:27:00Z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8A32E0F7AC6745C18A8A7FB50BA1F516_12</vt:lpwstr>
  </property>
</Properties>
</file>