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2F5496"/>
          <w:sz w:val="48"/>
          <w:szCs w:val="48"/>
        </w:rPr>
        <w:t xml:space="preserve">HKD 배달 서비스</w:t>
      </w:r>
    </w:p>
    <w:p>
      <w:pPr>
        <w:spacing w:after="200"/>
        <w:jc w:val="center"/>
      </w:pPr>
      <w:r>
        <w:rPr>
          <w:rFonts w:ascii="Arial" w:cs="Arial" w:eastAsia="Arial" w:hAnsi="Arial"/>
          <w:b/>
          <w:bCs/>
          <w:color w:val="2F5496"/>
          <w:sz w:val="40"/>
          <w:szCs w:val="40"/>
        </w:rPr>
        <w:t xml:space="preserve">시장 확산 분석 보고서</w:t>
      </w:r>
    </w:p>
    <w:p>
      <w:pPr>
        <w:spacing w:after="100"/>
        <w:jc w:val="center"/>
      </w:pPr>
      <w:r>
        <w:rPr>
          <w:rFonts w:ascii="Arial" w:cs="Arial" w:eastAsia="Arial" w:hAnsi="Arial"/>
          <w:color w:val="666666"/>
          <w:sz w:val="24"/>
          <w:szCs w:val="24"/>
        </w:rPr>
        <w:t xml:space="preserve">배달 거리 시뮬레이션 및 배달편의점 모델 수익 분석</w:t>
      </w:r>
    </w:p>
    <w:p>
      <w:pPr>
        <w:spacing w:before="600"/>
        <w:jc w:val="center"/>
      </w:pPr>
      <w:r>
        <w:rPr>
          <w:rFonts w:ascii="Arial" w:cs="Arial" w:eastAsia="Arial" w:hAnsi="Arial"/>
          <w:color w:val="999999"/>
          <w:sz w:val="22"/>
          <w:szCs w:val="22"/>
        </w:rPr>
        <w:t xml:space="preserve">2026-04-03</w:t>
      </w:r>
    </w:p>
    <w:p>
      <w:r>
        <w:br w:type="page"/>
      </w:r>
    </w:p>
    <w:p>
      <w:pPr>
        <w:pStyle w:val="Heading1"/>
        <w:spacing w:after="200" w:before="360"/>
      </w:pPr>
      <w:r>
        <w:rPr>
          <w:rFonts w:ascii="Arial" w:cs="Arial" w:eastAsia="Arial" w:hAnsi="Arial"/>
        </w:rPr>
        <w:t xml:space="preserve">1. HKD 수익 구조</w:t>
      </w:r>
    </w:p>
    <w:p>
      <w:pPr>
        <w:spacing w:after="120"/>
      </w:pPr>
      <w:r>
        <w:rPr>
          <w:rFonts w:ascii="Arial" w:cs="Arial" w:eastAsia="Arial" w:hAnsi="Arial"/>
          <w:sz w:val="22"/>
          <w:szCs w:val="22"/>
        </w:rPr>
        <w:t xml:space="preserve">HKD 플랫폼의 수익은 배달비에서 발생합니다. 음식 가격은 전액 음식점에 귀속되며, 플랫폼은 배달비의 10%를 서비스 수수료로 수취합니다.</w:t>
      </w:r>
    </w:p>
    <w:p>
      <w:pPr>
        <w:spacing w:after="120"/>
      </w:pPr>
      <w:r>
        <w:rPr>
          <w:rFonts w:ascii="Arial" w:cs="Arial" w:eastAsia="Arial" w:hAnsi="Arial"/>
          <w:sz w:val="22"/>
          <w:szCs w:val="22"/>
        </w:rPr>
        <w:t xml:space="preserve">현행 코드 기반 수익 구조: 배달비(deliveryFee) × 서비스수수료율(0.10) = 플랫폼 수입, 원천징수세율 3.3% 적용 후 배달기사에게 정산.</w:t>
      </w:r>
    </w:p>
    <w:p>
      <w:pPr>
        <w:pStyle w:val="Heading1"/>
        <w:spacing w:after="200" w:before="360"/>
      </w:pPr>
      <w:r>
        <w:rPr>
          <w:rFonts w:ascii="Arial" w:cs="Arial" w:eastAsia="Arial" w:hAnsi="Arial"/>
        </w:rPr>
        <w:t xml:space="preserve">2. 신규 배달비 체계</w:t>
      </w:r>
    </w:p>
    <w:p>
      <w:pPr>
        <w:spacing w:after="120"/>
      </w:pPr>
      <w:r>
        <w:rPr>
          <w:rFonts w:ascii="Arial" w:cs="Arial" w:eastAsia="Arial" w:hAnsi="Arial"/>
          <w:sz w:val="22"/>
          <w:szCs w:val="22"/>
        </w:rPr>
        <w:t xml:space="preserve">확산 대상 지역의 지리적 특성을 반영한 신규 배달비 체계를 설계하였습니다.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구분</w:t>
            </w:r>
          </w:p>
        </w:tc>
        <w:tc>
          <w:tcPr>
            <w:tcW w:type="dxa" w:w="35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기준</w:t>
            </w:r>
          </w:p>
        </w:tc>
        <w:tc>
          <w:tcPr>
            <w:tcW w:type="dxa" w:w="33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금액</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기본 배달비</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2km 이내</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5,000원</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음식점 추가 수거비</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추가 음식점당</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3,000원/점</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거리 할증</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2km 초과 시 0.5km당</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1,000원</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플랫폼 수수료</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배달비 × 10%</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배달비의 10%</w:t>
            </w:r>
          </w:p>
        </w:tc>
      </w:tr>
    </w:tbl>
    <w:p>
      <w:pPr>
        <w:spacing w:after="200"/>
      </w:pPr>
    </w:p>
    <w:p>
      <w:r>
        <w:br w:type="page"/>
      </w:r>
    </w:p>
    <w:p>
      <w:pPr>
        <w:pStyle w:val="Heading1"/>
        <w:spacing w:after="200" w:before="360"/>
      </w:pPr>
      <w:r>
        <w:rPr>
          <w:rFonts w:ascii="Arial" w:cs="Arial" w:eastAsia="Arial" w:hAnsi="Arial"/>
        </w:rPr>
        <w:t xml:space="preserve">3. 배달 거리 시뮬레이션 (Monte Carlo)</w:t>
      </w:r>
    </w:p>
    <w:p>
      <w:pPr>
        <w:spacing w:after="120"/>
      </w:pPr>
      <w:r>
        <w:rPr>
          <w:rFonts w:ascii="Arial" w:cs="Arial" w:eastAsia="Arial" w:hAnsi="Arial"/>
          <w:sz w:val="22"/>
          <w:szCs w:val="22"/>
        </w:rPr>
        <w:t xml:space="preserve">각 지역의 숙박시설 및 음식점 지리적 분포를 기반으로 Monte Carlo 시뮬레이션(N=10,000/지역)을 수행하였습니다. 숙박 클러스터(해안, 읍내, 산간 등)별 가중치를 적용하여 배달 거리와 배달비를 추정하였습니다.</w:t>
      </w:r>
    </w:p>
    <w:p>
      <w:pPr>
        <w:pStyle w:val="Heading2"/>
        <w:spacing w:after="160" w:before="240"/>
      </w:pPr>
      <w:r>
        <w:rPr>
          <w:rFonts w:ascii="Arial" w:cs="Arial" w:eastAsia="Arial" w:hAnsi="Arial"/>
        </w:rPr>
        <w:t xml:space="preserve">3.1 배달 거리 분포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지역</w:t>
            </w:r>
          </w:p>
        </w:tc>
        <w:tc>
          <w:tcPr>
            <w:tcW w:type="dxa" w:w="117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평균</w:t>
            </w:r>
          </w:p>
        </w:tc>
        <w:tc>
          <w:tcPr>
            <w:tcW w:type="dxa" w:w="117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중앙값</w:t>
            </w:r>
          </w:p>
        </w:tc>
        <w:tc>
          <w:tcPr>
            <w:tcW w:type="dxa" w:w="117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P25</w:t>
            </w:r>
          </w:p>
        </w:tc>
        <w:tc>
          <w:tcPr>
            <w:tcW w:type="dxa" w:w="117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P75</w:t>
            </w:r>
          </w:p>
        </w:tc>
        <w:tc>
          <w:tcPr>
            <w:tcW w:type="dxa" w:w="117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2km이내</w:t>
            </w:r>
          </w:p>
        </w:tc>
        <w:tc>
          <w:tcPr>
            <w:tcW w:type="dxa" w:w="117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2~4km</w:t>
            </w:r>
          </w:p>
        </w:tc>
        <w:tc>
          <w:tcPr>
            <w:tcW w:type="dxa" w:w="117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4km초과</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양양군</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2.58km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2.46km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1.59km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3.29km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36.0%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13.1%</w:t>
            </w:r>
          </w:p>
        </w:tc>
      </w:tr>
      <w:tr>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고성군</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3.21km</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3.17km</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1.63km</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4.37km</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30.9%</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36.8%</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32.3%</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남해군</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2.56km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2.45km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1.65km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3.34km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36.0%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52.0%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12.0%</w:t>
            </w:r>
          </w:p>
        </w:tc>
      </w:tr>
      <w:tr>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태안군</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2.22km</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1.92km</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1.02km</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3.03km</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51.9%</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34.8%</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13.3%</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완도군</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2.64km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2.61km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1.14km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3.73km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41.5%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37.8%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20.7%</w:t>
            </w:r>
          </w:p>
        </w:tc>
      </w:tr>
      <w:tr>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인제군</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3.32km</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2.66km</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1.58km</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4.52km</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36.9%</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31.9%</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31.1%</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울릉군</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1.80km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1.19km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0.77km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2.72km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60.9%</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31.5%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7.6%</w:t>
            </w:r>
          </w:p>
        </w:tc>
      </w:tr>
    </w:tbl>
    <w:p>
      <w:pPr>
        <w:spacing w:after="200"/>
      </w:pPr>
    </w:p>
    <w:p>
      <w:pPr>
        <w:pStyle w:val="Heading2"/>
        <w:spacing w:after="160" w:before="240"/>
      </w:pPr>
      <w:r>
        <w:rPr>
          <w:rFonts w:ascii="Arial" w:cs="Arial" w:eastAsia="Arial" w:hAnsi="Arial"/>
        </w:rPr>
        <w:t xml:space="preserve">3.2 배달비 분포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340"/>
        <w:gridCol w:w="1340"/>
        <w:gridCol w:w="1340"/>
        <w:gridCol w:w="1340"/>
        <w:gridCol w:w="1340"/>
        <w:gridCol w:w="1320"/>
      </w:tblGrid>
      <w:tr>
        <w:tc>
          <w:tcPr>
            <w:tcW w:type="dxa" w:w="134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지역</w:t>
            </w:r>
          </w:p>
        </w:tc>
        <w:tc>
          <w:tcPr>
            <w:tcW w:type="dxa" w:w="134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평균</w:t>
            </w:r>
          </w:p>
        </w:tc>
        <w:tc>
          <w:tcPr>
            <w:tcW w:type="dxa" w:w="134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중앙값</w:t>
            </w:r>
          </w:p>
        </w:tc>
        <w:tc>
          <w:tcPr>
            <w:tcW w:type="dxa" w:w="134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최소</w:t>
            </w:r>
          </w:p>
        </w:tc>
        <w:tc>
          <w:tcPr>
            <w:tcW w:type="dxa" w:w="134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최대</w:t>
            </w:r>
          </w:p>
        </w:tc>
        <w:tc>
          <w:tcPr>
            <w:tcW w:type="dxa" w:w="134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P25</w:t>
            </w:r>
          </w:p>
        </w:tc>
        <w:tc>
          <w:tcPr>
            <w:tcW w:type="dxa" w:w="132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P75</w:t>
            </w:r>
          </w:p>
        </w:tc>
      </w:tr>
      <w:tr>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양양군</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7,552원</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7,000원</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5,000원</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25,000원</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5,000원</w:t>
            </w:r>
          </w:p>
        </w:tc>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9,000원</w:t>
            </w:r>
          </w:p>
        </w:tc>
      </w:tr>
      <w:tr>
        <w:tc>
          <w:tcPr>
            <w:tcW w:type="dxa" w:w="1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고성군</w:t>
            </w:r>
          </w:p>
        </w:tc>
        <w:tc>
          <w:tcPr>
            <w:tcW w:type="dxa" w:w="1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8,786원</w:t>
            </w:r>
          </w:p>
        </w:tc>
        <w:tc>
          <w:tcPr>
            <w:tcW w:type="dxa" w:w="1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8,000원</w:t>
            </w:r>
          </w:p>
        </w:tc>
        <w:tc>
          <w:tcPr>
            <w:tcW w:type="dxa" w:w="1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5,000원</w:t>
            </w:r>
          </w:p>
        </w:tc>
        <w:tc>
          <w:tcPr>
            <w:tcW w:type="dxa" w:w="1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27,000원</w:t>
            </w:r>
          </w:p>
        </w:tc>
        <w:tc>
          <w:tcPr>
            <w:tcW w:type="dxa" w:w="1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5,000원</w:t>
            </w:r>
          </w:p>
        </w:tc>
        <w:tc>
          <w:tcPr>
            <w:tcW w:type="dxa" w:w="13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11,000원</w:t>
            </w:r>
          </w:p>
        </w:tc>
      </w:tr>
      <w:tr>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남해군</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7,453원</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7,000원</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5,000원</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20,000원</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5,000원</w:t>
            </w:r>
          </w:p>
        </w:tc>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9,000원</w:t>
            </w:r>
          </w:p>
        </w:tc>
      </w:tr>
      <w:tr>
        <w:tc>
          <w:tcPr>
            <w:tcW w:type="dxa" w:w="1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태안군</w:t>
            </w:r>
          </w:p>
        </w:tc>
        <w:tc>
          <w:tcPr>
            <w:tcW w:type="dxa" w:w="1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7,199원</w:t>
            </w:r>
          </w:p>
        </w:tc>
        <w:tc>
          <w:tcPr>
            <w:tcW w:type="dxa" w:w="1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6,000원</w:t>
            </w:r>
          </w:p>
        </w:tc>
        <w:tc>
          <w:tcPr>
            <w:tcW w:type="dxa" w:w="1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5,000원</w:t>
            </w:r>
          </w:p>
        </w:tc>
        <w:tc>
          <w:tcPr>
            <w:tcW w:type="dxa" w:w="1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21,000원</w:t>
            </w:r>
          </w:p>
        </w:tc>
        <w:tc>
          <w:tcPr>
            <w:tcW w:type="dxa" w:w="1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5,000원</w:t>
            </w:r>
          </w:p>
        </w:tc>
        <w:tc>
          <w:tcPr>
            <w:tcW w:type="dxa" w:w="13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8,000원</w:t>
            </w:r>
          </w:p>
        </w:tc>
      </w:tr>
      <w:tr>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완도군</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7,884원</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7,000원</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5,000원</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23,000원</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5,000원</w:t>
            </w:r>
          </w:p>
        </w:tc>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10,000원</w:t>
            </w:r>
          </w:p>
        </w:tc>
      </w:tr>
      <w:tr>
        <w:tc>
          <w:tcPr>
            <w:tcW w:type="dxa" w:w="1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인제군</w:t>
            </w:r>
          </w:p>
        </w:tc>
        <w:tc>
          <w:tcPr>
            <w:tcW w:type="dxa" w:w="1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8,993원</w:t>
            </w:r>
          </w:p>
        </w:tc>
        <w:tc>
          <w:tcPr>
            <w:tcW w:type="dxa" w:w="1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8,000원</w:t>
            </w:r>
          </w:p>
        </w:tc>
        <w:tc>
          <w:tcPr>
            <w:tcW w:type="dxa" w:w="1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5,000원</w:t>
            </w:r>
          </w:p>
        </w:tc>
        <w:tc>
          <w:tcPr>
            <w:tcW w:type="dxa" w:w="1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33,000원</w:t>
            </w:r>
          </w:p>
        </w:tc>
        <w:tc>
          <w:tcPr>
            <w:tcW w:type="dxa" w:w="1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5,000원</w:t>
            </w:r>
          </w:p>
        </w:tc>
        <w:tc>
          <w:tcPr>
            <w:tcW w:type="dxa" w:w="13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11,000원</w:t>
            </w:r>
          </w:p>
        </w:tc>
      </w:tr>
      <w:tr>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울릉군</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6,654원</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5,000원</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5,000원</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21,000원</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5,000원</w:t>
            </w:r>
          </w:p>
        </w:tc>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8,000원</w:t>
            </w:r>
          </w:p>
        </w:tc>
      </w:tr>
    </w:tbl>
    <w:p>
      <w:pPr>
        <w:spacing w:after="200"/>
      </w:pPr>
    </w:p>
    <w:p>
      <w:pPr>
        <w:spacing w:after="120"/>
      </w:pPr>
      <w:r>
        <w:rPr>
          <w:rFonts w:ascii="Arial" w:cs="Arial" w:eastAsia="Arial" w:hAnsi="Arial"/>
          <w:sz w:val="22"/>
          <w:szCs w:val="22"/>
        </w:rPr>
        <w:t xml:space="preserve">시뮬레이션 결과, 대부분 지역에서 평균 배달 거리가 2~3km 범위이며, 울릉군(1.80km)은 섬 지역 특성상 가장 짧고, 인제군(3.32km)은 산간 지역 특성상 가장 긴 것으로 나타났습니다. 평균 배달비는 6,654원(울릉군)에서 8,993원(인제군) 범위로 추정됩니다.</w:t>
      </w:r>
    </w:p>
    <w:p>
      <w:r>
        <w:br w:type="page"/>
      </w:r>
    </w:p>
    <w:p>
      <w:pPr>
        <w:pStyle w:val="Heading1"/>
        <w:spacing w:after="200" w:before="360"/>
      </w:pPr>
      <w:r>
        <w:rPr>
          <w:rFonts w:ascii="Arial" w:cs="Arial" w:eastAsia="Arial" w:hAnsi="Arial"/>
        </w:rPr>
        <w:t xml:space="preserve">4. Model A: 배달비 수수료 수익</w:t>
      </w:r>
    </w:p>
    <w:p>
      <w:pPr>
        <w:spacing w:after="120"/>
      </w:pPr>
      <w:r>
        <w:rPr>
          <w:rFonts w:ascii="Arial" w:cs="Arial" w:eastAsia="Arial" w:hAnsi="Arial"/>
          <w:sz w:val="22"/>
          <w:szCs w:val="22"/>
        </w:rPr>
        <w:t xml:space="preserve">배달비의 10%를 플랫폼 수수료로 수취하는 기본 모델입니다. 성수기(6~8월) 및 비수기 일주문량과 시뮬레이션된 평균 배달비를 기반으로 수익을 산출하였습니다.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지역</w:t>
            </w:r>
          </w:p>
        </w:tc>
        <w:tc>
          <w:tcPr>
            <w:tcW w:type="dxa" w:w="117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평균배달비</w:t>
            </w:r>
          </w:p>
        </w:tc>
        <w:tc>
          <w:tcPr>
            <w:tcW w:type="dxa" w:w="117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성수기일매출</w:t>
            </w:r>
          </w:p>
        </w:tc>
        <w:tc>
          <w:tcPr>
            <w:tcW w:type="dxa" w:w="117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비수기일매출</w:t>
            </w:r>
          </w:p>
        </w:tc>
        <w:tc>
          <w:tcPr>
            <w:tcW w:type="dxa" w:w="117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성수기월매출</w:t>
            </w:r>
          </w:p>
        </w:tc>
        <w:tc>
          <w:tcPr>
            <w:tcW w:type="dxa" w:w="117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비수기월매출</w:t>
            </w:r>
          </w:p>
        </w:tc>
        <w:tc>
          <w:tcPr>
            <w:tcW w:type="dxa" w:w="117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연매출</w:t>
            </w:r>
          </w:p>
        </w:tc>
        <w:tc>
          <w:tcPr>
            <w:tcW w:type="dxa" w:w="117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등급</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양양군</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7,552원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506,004원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90,628원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1,518만원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272만원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8,247만원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F5496"/>
                <w:sz w:val="18"/>
                <w:szCs w:val="18"/>
              </w:rPr>
              <w:t xml:space="preserve">S</w:t>
            </w:r>
          </w:p>
        </w:tc>
      </w:tr>
      <w:tr>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고성군</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8,786원</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509,582원</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65,894원</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1,529만원</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198만원</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7,696만원</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2F5496"/>
                <w:sz w:val="18"/>
                <w:szCs w:val="18"/>
              </w:rPr>
              <w:t xml:space="preserve">S</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남해군</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7,453원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417,368원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85,710원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1,252만원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257만원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7,065만원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F5496"/>
                <w:sz w:val="18"/>
                <w:szCs w:val="18"/>
              </w:rPr>
              <w:t xml:space="preserve">S</w:t>
            </w:r>
          </w:p>
        </w:tc>
      </w:tr>
      <w:tr>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태안군</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7,199원</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568,713원</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71,989원</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1,706만원</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216만원</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8,552만원</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2F5496"/>
                <w:sz w:val="18"/>
                <w:szCs w:val="18"/>
              </w:rPr>
              <w:t xml:space="preserve">A</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완도군</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7,884원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338,990원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70,952원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1,017만원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213만원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5,771만원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F5496"/>
                <w:sz w:val="18"/>
                <w:szCs w:val="18"/>
              </w:rPr>
              <w:t xml:space="preserve">B</w:t>
            </w:r>
          </w:p>
        </w:tc>
      </w:tr>
      <w:tr>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인제군</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8,993원</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494,598원</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67,445원</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1,484만원</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202만원</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7,554만원</w:t>
            </w:r>
          </w:p>
        </w:tc>
        <w:tc>
          <w:tcPr>
            <w:tcW w:type="dxa" w:w="117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2F5496"/>
                <w:sz w:val="18"/>
                <w:szCs w:val="18"/>
              </w:rPr>
              <w:t xml:space="preserve">A</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울릉군</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6,654원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86,497원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7,319원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259만원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22만원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1,214만원</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F5496"/>
                <w:sz w:val="18"/>
                <w:szCs w:val="18"/>
              </w:rPr>
              <w:t xml:space="preserve">C</w:t>
            </w:r>
          </w:p>
        </w:tc>
      </w:tr>
    </w:tbl>
    <w:p>
      <w:pPr>
        <w:spacing w:after="200"/>
      </w:pPr>
    </w:p>
    <w:p>
      <w:pPr>
        <w:spacing w:after="120"/>
      </w:pPr>
      <w:r>
        <w:rPr>
          <w:rFonts w:ascii="Arial" w:cs="Arial" w:eastAsia="Arial" w:hAnsi="Arial"/>
          <w:sz w:val="22"/>
          <w:szCs w:val="22"/>
        </w:rPr>
        <w:t xml:space="preserve">7개 지역 합산 Model A 연간 플랫폼 매출: 46,100만원. 배달비 수수료만으로는 지역당 연 1,200만~8,500만원 수준으로 수익성이 제한적입니다.</w:t>
      </w:r>
    </w:p>
    <w:p>
      <w:r>
        <w:br w:type="page"/>
      </w:r>
    </w:p>
    <w:p>
      <w:pPr>
        <w:pStyle w:val="Heading1"/>
        <w:spacing w:after="200" w:before="360"/>
      </w:pPr>
      <w:r>
        <w:rPr>
          <w:rFonts w:ascii="Arial" w:cs="Arial" w:eastAsia="Arial" w:hAnsi="Arial"/>
        </w:rPr>
        <w:t xml:space="preserve">5. Model B: 배달편의점 모델</w:t>
      </w:r>
    </w:p>
    <w:p>
      <w:pPr>
        <w:pStyle w:val="Heading2"/>
        <w:spacing w:after="160" w:before="240"/>
      </w:pPr>
      <w:r>
        <w:rPr>
          <w:rFonts w:ascii="Arial" w:cs="Arial" w:eastAsia="Arial" w:hAnsi="Arial"/>
        </w:rPr>
        <w:t xml:space="preserve">5.1 사업 모델 개요</w:t>
      </w:r>
    </w:p>
    <w:p>
      <w:pPr>
        <w:spacing w:after="120"/>
      </w:pPr>
      <w:r>
        <w:rPr>
          <w:rFonts w:ascii="Arial" w:cs="Arial" w:eastAsia="Arial" w:hAnsi="Arial"/>
          <w:sz w:val="22"/>
          <w:szCs w:val="22"/>
        </w:rPr>
        <w:t xml:space="preserve">배달편의점 모델은 음식 배달 시 주류 및 간식을 함께 판매하여 유통마진을 추가 수익원으로 확보하는 모델입니다. 국세청 규정(2020.7.1 시행)에 따라 주류 가격은 음식 주문금액 이하여야 합니다.</w:t>
      </w:r>
    </w:p>
    <w:p>
      <w:pPr>
        <w:pStyle w:val="Heading2"/>
        <w:spacing w:after="160" w:before="240"/>
      </w:pPr>
      <w:r>
        <w:rPr>
          <w:rFonts w:ascii="Arial" w:cs="Arial" w:eastAsia="Arial" w:hAnsi="Arial"/>
        </w:rPr>
        <w:t xml:space="preserve">5.2 전제 조건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항목</w:t>
            </w:r>
          </w:p>
        </w:tc>
        <w:tc>
          <w:tcPr>
            <w:tcW w:type="dxa" w:w="468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값</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주류 첨부율 (성수기/비수기)</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35% / 15%</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평균 주류 주문액</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12,000원</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주류 유통 마진</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25%</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간식 첨부율 (성수기/비수기)</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20% / 10%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평균 간식 주문액</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8,000원</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간식 유통 마진</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법적 제한</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주류가격 ≤ 음식값 (국세청 규정)</w:t>
            </w:r>
          </w:p>
        </w:tc>
      </w:tr>
    </w:tbl>
    <w:p>
      <w:pPr>
        <w:spacing w:after="200"/>
      </w:pPr>
    </w:p>
    <w:p>
      <w:pPr>
        <w:pStyle w:val="Heading2"/>
        <w:spacing w:after="160" w:before="240"/>
      </w:pPr>
      <w:r>
        <w:rPr>
          <w:rFonts w:ascii="Arial" w:cs="Arial" w:eastAsia="Arial" w:hAnsi="Arial"/>
        </w:rPr>
        <w:t xml:space="preserve">5.3 지역별 수익 시뮬레이션 결과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0"/>
        <w:gridCol w:w="1060"/>
        <w:gridCol w:w="1060"/>
        <w:gridCol w:w="1060"/>
        <w:gridCol w:w="1060"/>
        <w:gridCol w:w="1060"/>
        <w:gridCol w:w="1060"/>
        <w:gridCol w:w="1060"/>
        <w:gridCol w:w="920"/>
      </w:tblGrid>
      <w:tr>
        <w:tc>
          <w:tcPr>
            <w:tcW w:type="dxa" w:w="10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지역</w:t>
            </w:r>
          </w:p>
        </w:tc>
        <w:tc>
          <w:tcPr>
            <w:tcW w:type="dxa" w:w="10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성수기일매출</w:t>
            </w:r>
          </w:p>
        </w:tc>
        <w:tc>
          <w:tcPr>
            <w:tcW w:type="dxa" w:w="10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비수기일매출</w:t>
            </w:r>
          </w:p>
        </w:tc>
        <w:tc>
          <w:tcPr>
            <w:tcW w:type="dxa" w:w="10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성수기월매출</w:t>
            </w:r>
          </w:p>
        </w:tc>
        <w:tc>
          <w:tcPr>
            <w:tcW w:type="dxa" w:w="10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비수기월매출</w:t>
            </w:r>
          </w:p>
        </w:tc>
        <w:tc>
          <w:tcPr>
            <w:tcW w:type="dxa" w:w="10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연매출</w:t>
            </w:r>
          </w:p>
        </w:tc>
        <w:tc>
          <w:tcPr>
            <w:tcW w:type="dxa" w:w="10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주류마진/일</w:t>
            </w:r>
          </w:p>
        </w:tc>
        <w:tc>
          <w:tcPr>
            <w:tcW w:type="dxa" w:w="10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간식마진/일</w:t>
            </w:r>
          </w:p>
        </w:tc>
        <w:tc>
          <w:tcPr>
            <w:tcW w:type="dxa" w:w="92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배수</w:t>
            </w:r>
          </w:p>
        </w:tc>
      </w:tr>
      <w:tr>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태안군</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1,777,413원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140,989원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5,332만원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423만원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24,713만원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829,500원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379,200원</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2.89x</w:t>
            </w:r>
          </w:p>
        </w:tc>
      </w:tr>
      <w:tr>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양양군</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1,531,104원</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173,428원</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4,593만원</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520만원</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22,536만원</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703,500원</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321,600원</w:t>
            </w:r>
          </w:p>
        </w:tc>
        <w:tc>
          <w:tcPr>
            <w:tcW w:type="dxa" w:w="9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2.73x</w:t>
            </w:r>
          </w:p>
        </w:tc>
      </w:tr>
      <w:tr>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고성군</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1,396,982원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117,644원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4,191만원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353만원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19,587만원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609,000원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278,400원</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2.54x</w:t>
            </w:r>
          </w:p>
        </w:tc>
      </w:tr>
      <w:tr>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남해군</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1,274,168원</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165,060원</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3,823만원</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495만원</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19,251만원</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588,000원</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268,800원</w:t>
            </w:r>
          </w:p>
        </w:tc>
        <w:tc>
          <w:tcPr>
            <w:tcW w:type="dxa" w:w="9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2.72x</w:t>
            </w:r>
          </w:p>
        </w:tc>
      </w:tr>
      <w:tr>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인제군</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1,336,098원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119,195원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4,008만원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358만원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18,894만원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577,500원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264,000원</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2.5x</w:t>
            </w:r>
          </w:p>
        </w:tc>
      </w:tr>
      <w:tr>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완도군</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996,890원</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133,052원</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2,991만원</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399만원</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15,156만원</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451,500원</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206,400원</w:t>
            </w:r>
          </w:p>
        </w:tc>
        <w:tc>
          <w:tcPr>
            <w:tcW w:type="dxa" w:w="9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2.63x</w:t>
            </w:r>
          </w:p>
        </w:tc>
      </w:tr>
      <w:tr>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울릉군</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285,397원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14,909원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856만원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45만원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3,783만원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136,500원</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62,400원</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3.12x</w:t>
            </w:r>
          </w:p>
        </w:tc>
      </w:tr>
    </w:tbl>
    <w:p>
      <w:pPr>
        <w:spacing w:after="200"/>
      </w:pPr>
    </w:p>
    <w:p>
      <w:pPr>
        <w:spacing w:after="120"/>
      </w:pPr>
      <w:r>
        <w:rPr>
          <w:rFonts w:ascii="Arial" w:cs="Arial" w:eastAsia="Arial" w:hAnsi="Arial"/>
          <w:b/>
          <w:bCs/>
          <w:sz w:val="22"/>
          <w:szCs w:val="22"/>
        </w:rPr>
        <w:t xml:space="preserve">7개 지역 합산 Model B 연간 매출: 123,919만원 (Model A 대비 약 2.7배).</w:t>
      </w:r>
    </w:p>
    <w:p>
      <w:r>
        <w:br w:type="page"/>
      </w:r>
    </w:p>
    <w:p>
      <w:pPr>
        <w:pStyle w:val="Heading1"/>
        <w:spacing w:after="200" w:before="360"/>
      </w:pPr>
      <w:r>
        <w:rPr>
          <w:rFonts w:ascii="Arial" w:cs="Arial" w:eastAsia="Arial" w:hAnsi="Arial"/>
        </w:rPr>
        <w:t xml:space="preserve">6. Model A vs Model B 비교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지역</w:t>
            </w:r>
          </w:p>
        </w:tc>
        <w:tc>
          <w:tcPr>
            <w:tcW w:type="dxa" w:w="15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Model A 연매출</w:t>
            </w:r>
          </w:p>
        </w:tc>
        <w:tc>
          <w:tcPr>
            <w:tcW w:type="dxa" w:w="15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Model B 연매출</w:t>
            </w:r>
          </w:p>
        </w:tc>
        <w:tc>
          <w:tcPr>
            <w:tcW w:type="dxa" w:w="15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증가분</w:t>
            </w:r>
          </w:p>
        </w:tc>
        <w:tc>
          <w:tcPr>
            <w:tcW w:type="dxa" w:w="15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배수</w:t>
            </w:r>
          </w:p>
        </w:tc>
        <w:tc>
          <w:tcPr>
            <w:tcW w:type="dxa" w:w="15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등급</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태안군</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8,552만원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24,713만원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16,160만원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2.89x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F5496"/>
                <w:sz w:val="18"/>
                <w:szCs w:val="18"/>
              </w:rPr>
              <w:t xml:space="preserve">A</w:t>
            </w:r>
          </w:p>
        </w:tc>
      </w:tr>
      <w:tr>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양양군</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8,247만원</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22,536만원</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14,288만원</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2.73x</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2F5496"/>
                <w:sz w:val="18"/>
                <w:szCs w:val="18"/>
              </w:rPr>
              <w:t xml:space="preserv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고성군</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7,696만원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19,587만원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11,891만원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2.54x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F5496"/>
                <w:sz w:val="18"/>
                <w:szCs w:val="18"/>
              </w:rPr>
              <w:t xml:space="preserve">S</w:t>
            </w:r>
          </w:p>
        </w:tc>
      </w:tr>
      <w:tr>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남해군</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7,065만원</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19,251만원</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12,186만원</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2.72x</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2F5496"/>
                <w:sz w:val="18"/>
                <w:szCs w:val="18"/>
              </w:rPr>
              <w:t xml:space="preserv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인제군</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7,554만원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18,894만원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11,340만원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2.5x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F5496"/>
                <w:sz w:val="18"/>
                <w:szCs w:val="18"/>
              </w:rPr>
              <w:t xml:space="preserve">A</w:t>
            </w:r>
          </w:p>
        </w:tc>
      </w:tr>
      <w:tr>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완도군</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5,771만원</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15,156만원</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9,385만원</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2.63x</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2F5496"/>
                <w:sz w:val="18"/>
                <w:szCs w:val="18"/>
              </w:rPr>
              <w:t xml:space="preserve">B</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울릉군</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1,214만원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3,783만원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2,569만원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3.12x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F5496"/>
                <w:sz w:val="18"/>
                <w:szCs w:val="18"/>
              </w:rPr>
              <w:t xml:space="preserve">C</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합계</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46,100만원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123,919만원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77,820만원</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2.7x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w:t>
            </w:r>
          </w:p>
        </w:tc>
      </w:tr>
    </w:tbl>
    <w:p>
      <w:pPr>
        <w:spacing w:after="200"/>
      </w:pPr>
    </w:p>
    <w:p>
      <w:pPr>
        <w:pStyle w:val="Heading1"/>
        <w:spacing w:after="200" w:before="360"/>
      </w:pPr>
      <w:r>
        <w:rPr>
          <w:rFonts w:ascii="Arial" w:cs="Arial" w:eastAsia="Arial" w:hAnsi="Arial"/>
        </w:rPr>
        <w:t xml:space="preserve">7. 배달기사 수입 분석</w:t>
      </w:r>
    </w:p>
    <w:p>
      <w:pPr>
        <w:spacing w:after="120"/>
      </w:pPr>
      <w:r>
        <w:rPr>
          <w:rFonts w:ascii="Arial" w:cs="Arial" w:eastAsia="Arial" w:hAnsi="Arial"/>
          <w:sz w:val="22"/>
          <w:szCs w:val="22"/>
        </w:rPr>
        <w:t xml:space="preserve">배달기사는 배달비의 90%(플랫폼 수수료 10% 제외, 세전)을 수취합니다. 지역별 성수기/비수기 예상 일수입은 다음과 같습니다.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지역</w:t>
            </w:r>
          </w:p>
        </w:tc>
        <w:tc>
          <w:tcPr>
            <w:tcW w:type="dxa" w:w="312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성수기 일수입</w:t>
            </w:r>
          </w:p>
        </w:tc>
        <w:tc>
          <w:tcPr>
            <w:tcW w:type="dxa" w:w="312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비수기 일수입</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양양군</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4,387,056원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785,741원</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고성군</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4,418,078원</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571,303원</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남해군</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3,618,581원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743,101원</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태안군</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4,930,743원</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624,145원</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완도군</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2,939,048원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615,150원</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인제군</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4,288,169원</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584,750원</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울릉군</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749,927원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63,455원</w:t>
            </w:r>
          </w:p>
        </w:tc>
      </w:tr>
    </w:tbl>
    <w:p>
      <w:pPr>
        <w:spacing w:after="200"/>
      </w:pPr>
    </w:p>
    <w:p>
      <w:pPr>
        <w:spacing w:after="120"/>
      </w:pPr>
      <w:r>
        <w:rPr>
          <w:rFonts w:ascii="Arial" w:cs="Arial" w:eastAsia="Arial" w:hAnsi="Arial"/>
          <w:sz w:val="22"/>
          <w:szCs w:val="22"/>
        </w:rPr>
        <w:t xml:space="preserve">성수기 기준 배달기사 1인당 일수입은 약 75만~493만원으로 추정되며, 이는 도시 지역 라이더 수입과 비교하여 충분한 경쟁력을 확보할 수 있습니다. 다만 비수기에는 일수입이 크게 감소하므로 복수 지역 운영 또는 비수기 대체 업무 확보가 필요합니다.</w:t>
      </w:r>
    </w:p>
    <w:p>
      <w:r>
        <w:br w:type="page"/>
      </w:r>
    </w:p>
    <w:p>
      <w:pPr>
        <w:pStyle w:val="Heading1"/>
        <w:spacing w:after="200" w:before="360"/>
      </w:pPr>
      <w:r>
        <w:rPr>
          <w:rFonts w:ascii="Arial" w:cs="Arial" w:eastAsia="Arial" w:hAnsi="Arial"/>
        </w:rPr>
        <w:t xml:space="preserve">8. 핵심 인사이트 및 전략 권고</w:t>
      </w:r>
    </w:p>
    <w:p>
      <w:pPr>
        <w:pStyle w:val="Heading2"/>
        <w:spacing w:after="120" w:before="200"/>
      </w:pPr>
      <w:r>
        <w:rPr>
          <w:rFonts w:ascii="Arial" w:cs="Arial" w:eastAsia="Arial" w:hAnsi="Arial"/>
        </w:rPr>
        <w:t xml:space="preserve">배달편의점 모델 필수 도입</w:t>
      </w:r>
    </w:p>
    <w:p>
      <w:pPr>
        <w:spacing w:after="160"/>
      </w:pPr>
      <w:r>
        <w:rPr>
          <w:rFonts w:ascii="Arial" w:cs="Arial" w:eastAsia="Arial" w:hAnsi="Arial"/>
          <w:sz w:val="22"/>
          <w:szCs w:val="22"/>
        </w:rPr>
        <w:t xml:space="preserve">Model B(배달편의점)는 Model A(순수 배달비 수수료) 대비 평균 2.5~3.1배의 수익을 창출합니다. 배달비 수수료만으로는 지속가능한 사업 모델이 어려우며, 주류/간식 유통마진의 확보가 필수적입니다.</w:t>
      </w:r>
    </w:p>
    <w:p>
      <w:pPr>
        <w:pStyle w:val="Heading2"/>
        <w:spacing w:after="120" w:before="200"/>
      </w:pPr>
      <w:r>
        <w:rPr>
          <w:rFonts w:ascii="Arial" w:cs="Arial" w:eastAsia="Arial" w:hAnsi="Arial"/>
        </w:rPr>
        <w:t xml:space="preserve">주류 유통마진이 핵심 수익원</w:t>
      </w:r>
    </w:p>
    <w:p>
      <w:pPr>
        <w:spacing w:after="160"/>
      </w:pPr>
      <w:r>
        <w:rPr>
          <w:rFonts w:ascii="Arial" w:cs="Arial" w:eastAsia="Arial" w:hAnsi="Arial"/>
          <w:sz w:val="22"/>
          <w:szCs w:val="22"/>
        </w:rPr>
        <w:t xml:space="preserve">주류 유통마진(25%)이 추가 수익의 약 65%를 차지합니다. 성수기 관광지에서 주류 수요가 높아 첨부율 35%는 보수적 추정입니다. 국세청 규정(주류가격 ≤ 음식값)을 준수하되, 평균 음식 주문액이 충분히 높아 제약이 크지 않습니다.</w:t>
      </w:r>
    </w:p>
    <w:p>
      <w:pPr>
        <w:pStyle w:val="Heading2"/>
        <w:spacing w:after="120" w:before="200"/>
      </w:pPr>
      <w:r>
        <w:rPr>
          <w:rFonts w:ascii="Arial" w:cs="Arial" w:eastAsia="Arial" w:hAnsi="Arial"/>
        </w:rPr>
        <w:t xml:space="preserve">태안군 최우선 진출 추천</w:t>
      </w:r>
    </w:p>
    <w:p>
      <w:pPr>
        <w:spacing w:after="160"/>
      </w:pPr>
      <w:r>
        <w:rPr>
          <w:rFonts w:ascii="Arial" w:cs="Arial" w:eastAsia="Arial" w:hAnsi="Arial"/>
          <w:sz w:val="22"/>
          <w:szCs w:val="22"/>
        </w:rPr>
        <w:t xml:space="preserve">태안군이 Model B 기준 최고 연매출(약 24,713만원)을 기록하며, 대규모 숙박시설 밀집과 수도권 접근성으로 최우선 진출 대상입니다.</w:t>
      </w:r>
    </w:p>
    <w:p>
      <w:pPr>
        <w:pStyle w:val="Heading2"/>
        <w:spacing w:after="120" w:before="200"/>
      </w:pPr>
      <w:r>
        <w:rPr>
          <w:rFonts w:ascii="Arial" w:cs="Arial" w:eastAsia="Arial" w:hAnsi="Arial"/>
        </w:rPr>
        <w:t xml:space="preserve">울릉군의 높은 배수 효과</w:t>
      </w:r>
    </w:p>
    <w:p>
      <w:pPr>
        <w:spacing w:after="160"/>
      </w:pPr>
      <w:r>
        <w:rPr>
          <w:rFonts w:ascii="Arial" w:cs="Arial" w:eastAsia="Arial" w:hAnsi="Arial"/>
          <w:sz w:val="22"/>
          <w:szCs w:val="22"/>
        </w:rPr>
        <w:t xml:space="preserve">울릉군은 절대 매출은 낮으나 배수(3.12x)가 가장 높습니다. 섬 지역 특성상 배달 거리가 짧고(평균 1.80km), 주류 수요가 높아 마진율이 우수합니다.</w:t>
      </w:r>
    </w:p>
    <w:p>
      <w:pPr>
        <w:pStyle w:val="Heading2"/>
        <w:spacing w:after="120" w:before="200"/>
      </w:pPr>
      <w:r>
        <w:rPr>
          <w:rFonts w:ascii="Arial" w:cs="Arial" w:eastAsia="Arial" w:hAnsi="Arial"/>
        </w:rPr>
        <w:t xml:space="preserve">성수기 집중 운영 전략</w:t>
      </w:r>
    </w:p>
    <w:p>
      <w:pPr>
        <w:spacing w:after="160"/>
      </w:pPr>
      <w:r>
        <w:rPr>
          <w:rFonts w:ascii="Arial" w:cs="Arial" w:eastAsia="Arial" w:hAnsi="Arial"/>
          <w:sz w:val="22"/>
          <w:szCs w:val="22"/>
        </w:rPr>
        <w:t xml:space="preserve">성수기(6~8월) 대비 비수기 매출이 1/5~1/8 수준으로 급감합니다. 성수기 집중 운영 + 비수기 축소 운영의 유연한 전략이 필요하며, 복수 지역 순환 운영을 통해 연간 가동률을 높일 수 있습니다.</w:t>
      </w:r>
    </w:p>
    <w:p>
      <w:r>
        <w:br w:type="page"/>
      </w:r>
    </w:p>
    <w:p>
      <w:pPr>
        <w:pStyle w:val="Heading1"/>
        <w:spacing w:after="200" w:before="360"/>
      </w:pPr>
      <w:r>
        <w:rPr>
          <w:rFonts w:ascii="Arial" w:cs="Arial" w:eastAsia="Arial" w:hAnsi="Arial"/>
        </w:rPr>
        <w:t xml:space="preserve">9. 시뮬레이션 방법론</w:t>
      </w:r>
    </w:p>
    <w:p>
      <w:pPr>
        <w:spacing w:after="120"/>
      </w:pPr>
      <w:r>
        <w:rPr>
          <w:rFonts w:ascii="Arial" w:cs="Arial" w:eastAsia="Arial" w:hAnsi="Arial"/>
          <w:sz w:val="22"/>
          <w:szCs w:val="22"/>
        </w:rPr>
        <w:t xml:space="preserve">Monte Carlo 시뮬레이션(지역당 N=10,000 샘플)을 통해 배달 거리와 배달비를 추정하였습니다.</w:t>
      </w:r>
    </w:p>
    <w:p>
      <w:pPr>
        <w:spacing w:after="120"/>
      </w:pPr>
      <w:r>
        <w:rPr>
          <w:rFonts w:ascii="Arial" w:cs="Arial" w:eastAsia="Arial" w:hAnsi="Arial"/>
          <w:sz w:val="22"/>
          <w:szCs w:val="22"/>
        </w:rPr>
        <w:t xml:space="preserve">1. 지역별 숙박시설 클러스터(해안, 읍내, 산간 등) 비율을 설정하여 주문자 위치를 확률적으로 생성
2. 음식점 위치도 동일한 클러스터 기반으로 생성하되, 음식점 밀집도를 반영
3. Haversine 공식으로 배달 거리를 계산하고, 신규 배달비 체계(5,000원 기본 + 거리/추가 수거 할증)를 적용
4. 복수 음식점 주문 확률(~15%)을 반영하여 추가 수거비를 시뮬레이션
5. 성수기/비수기 일주문량은 관광통계 및 숙박시설 수를 기반으로 추정
6. 배달편의점 모델의 주류/간식 첨부율은 편의점 업계 데이터를 참고하여 보수적으로 설정</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HKD 시장분석 - 배달거리 시뮬레이션 및 배달편의점 모델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F549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2026-04-03T00:00:56.213Z</dcterms:created>
  <dcterms:modified xsi:type="dcterms:W3CDTF">2026-04-03T00:00:56.214Z</dcterms:modified>
</cp:coreProperties>
</file>

<file path=docProps/custom.xml><?xml version="1.0" encoding="utf-8"?>
<Properties xmlns="http://schemas.openxmlformats.org/officeDocument/2006/custom-properties" xmlns:vt="http://schemas.openxmlformats.org/officeDocument/2006/docPropsVTypes"/>
</file>