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770BF"/>
          <w:sz w:val="30"/>
          <w:szCs w:val="30"/>
        </w:rPr>
        <w:t xml:space="preserve">PROPWEB</w:t>
      </w:r>
    </w:p>
    <w:p>
      <w:pPr>
        <w:pBdr>
          <w:bottom w:val="single" w:color="C3EA4F" w:sz="14"/>
        </w:pBdr>
        <w:spacing w:after="200"/>
      </w:pPr>
      <w:r>
        <w:rPr>
          <w:rFonts w:ascii="Calibri" w:cs="Calibri" w:eastAsia="Calibri" w:hAnsi="Calibri"/>
          <w:b/>
          <w:bCs/>
          <w:color w:val="1B1E23"/>
          <w:sz w:val="40"/>
          <w:szCs w:val="40"/>
        </w:rPr>
        <w:t xml:space="preserve">Term Sheet &amp; Memorandum of Understanding</w:t>
      </w:r>
    </w:p>
    <w:p>
      <w:pPr>
        <w:spacing w:after="60"/>
      </w:pPr>
      <w:r>
        <w:rPr>
          <w:rFonts w:ascii="Calibri" w:cs="Calibri" w:eastAsia="Calibri" w:hAnsi="Calibri"/>
          <w:i/>
          <w:iCs/>
          <w:color w:val="5B6470"/>
          <w:sz w:val="22"/>
          <w:szCs w:val="22"/>
        </w:rPr>
        <w:t xml:space="preserve">PropWeb  ×  Trinetry Private Limited  ·  Product build + founder engagement  ·  July 2026</w:t>
      </w:r>
    </w:p>
    <w:p>
      <w:pPr>
        <w:pBdr>
          <w:top w:val="single" w:color="DDE3EE" w:sz="4"/>
          <w:bottom w:val="single" w:color="DDE3EE" w:sz="4"/>
          <w:left w:val="single" w:color="DDE3EE" w:sz="4"/>
          <w:right w:val="single" w:color="DDE3EE" w:sz="4"/>
        </w:pBdr>
        <w:spacing w:after="160" w:before="0" w:line="276"/>
      </w:pPr>
      <w:r>
        <w:rPr>
          <w:rFonts w:ascii="Calibri" w:cs="Calibri" w:eastAsia="Calibri" w:hAnsi="Calibri"/>
          <w:b/>
          <w:bCs/>
          <w:color w:val="B00020"/>
          <w:sz w:val="18"/>
          <w:szCs w:val="18"/>
        </w:rPr>
        <w:t xml:space="preserve">DRAFT FOR NEGOTIATION — CONFIDENTIAL. </w:t>
      </w:r>
      <w:r>
        <w:rPr>
          <w:rFonts w:ascii="Calibri" w:cs="Calibri" w:eastAsia="Calibri" w:hAnsi="Calibri"/>
          <w:i/>
          <w:iCs/>
          <w:color w:val="5B6470"/>
          <w:sz w:val="18"/>
          <w:szCs w:val="18"/>
        </w:rPr>
        <w:t xml:space="preserve">Prepared as a working draft to open discussions between the parties. Not legal, tax, or financial advice. Commercial figures (including equity) are opening positions and are subject to change. Every party should obtain independent legal and CA/tax review before execution. Bracketed items [like this] must be completed before signing.</w:t>
      </w:r>
    </w:p>
    <w:p>
      <w:pPr>
        <w:pStyle w:val="Heading1"/>
        <w:spacing w:after="120" w:before="260"/>
      </w:pPr>
      <w:r>
        <w:rPr>
          <w:rFonts w:ascii="Calibri" w:cs="Calibri" w:eastAsia="Calibri" w:hAnsi="Calibri"/>
          <w:b/>
          <w:bCs/>
          <w:color w:val="3770BF"/>
          <w:sz w:val="28"/>
          <w:szCs w:val="28"/>
        </w:rPr>
        <w:t xml:space="preserve">1. Parties</w:t>
      </w:r>
    </w:p>
    <w:p>
      <w:pPr>
        <w:pStyle w:val="ListParagraph"/>
        <w:numPr>
          <w:ilvl w:val="0"/>
          <w:numId w:val="1"/>
        </w:numPr>
        <w:spacing w:after="60" w:before="0" w:line="276"/>
      </w:pPr>
      <w:r>
        <w:rPr>
          <w:rFonts w:ascii="Calibri" w:cs="Calibri" w:eastAsia="Calibri" w:hAnsi="Calibri"/>
          <w:b/>
          <w:bCs/>
          <w:color w:val="1B1E23"/>
          <w:sz w:val="21"/>
          <w:szCs w:val="21"/>
        </w:rPr>
        <w:t xml:space="preserve">PropWeb — </w:t>
      </w:r>
      <w:r>
        <w:rPr>
          <w:rFonts w:ascii="Calibri" w:cs="Calibri" w:eastAsia="Calibri" w:hAnsi="Calibri"/>
          <w:color w:val="1B1E23"/>
          <w:sz w:val="21"/>
          <w:szCs w:val="21"/>
        </w:rPr>
        <w:t xml:space="preserve">the company building and owning the PropWeb rental platform, acting through its co-founder CEOs [CEO-1 name] and [CEO-2 name] (together, “PropWeb” or the “Company”). [Company legal name &amp; CIN].</w:t>
      </w:r>
    </w:p>
    <w:p>
      <w:pPr>
        <w:pStyle w:val="ListParagraph"/>
        <w:numPr>
          <w:ilvl w:val="0"/>
          <w:numId w:val="1"/>
        </w:numPr>
        <w:spacing w:after="60" w:before="0" w:line="276"/>
      </w:pPr>
      <w:r>
        <w:rPr>
          <w:rFonts w:ascii="Calibri" w:cs="Calibri" w:eastAsia="Calibri" w:hAnsi="Calibri"/>
          <w:b/>
          <w:bCs/>
          <w:color w:val="1B1E23"/>
          <w:sz w:val="21"/>
          <w:szCs w:val="21"/>
        </w:rPr>
        <w:t xml:space="preserve">Trinetry Private Limited — </w:t>
      </w:r>
      <w:r>
        <w:rPr>
          <w:rFonts w:ascii="Calibri" w:cs="Calibri" w:eastAsia="Calibri" w:hAnsi="Calibri"/>
          <w:color w:val="1B1E23"/>
          <w:sz w:val="21"/>
          <w:szCs w:val="21"/>
        </w:rPr>
        <w:t xml:space="preserve">a private limited company controlled by Yogesh, engaged as the build vendor (the “Developer”). [Trinetry legal name, CIN, registered office].</w:t>
      </w:r>
    </w:p>
    <w:p>
      <w:pPr>
        <w:pStyle w:val="ListParagraph"/>
        <w:numPr>
          <w:ilvl w:val="0"/>
          <w:numId w:val="1"/>
        </w:numPr>
        <w:spacing w:after="60" w:before="0" w:line="276"/>
      </w:pPr>
      <w:r>
        <w:rPr>
          <w:rFonts w:ascii="Calibri" w:cs="Calibri" w:eastAsia="Calibri" w:hAnsi="Calibri"/>
          <w:b/>
          <w:bCs/>
          <w:color w:val="1B1E23"/>
          <w:sz w:val="21"/>
          <w:szCs w:val="21"/>
        </w:rPr>
        <w:t xml:space="preserve">Yogesh — </w:t>
      </w:r>
      <w:r>
        <w:rPr>
          <w:rFonts w:ascii="Calibri" w:cs="Calibri" w:eastAsia="Calibri" w:hAnsi="Calibri"/>
          <w:color w:val="1B1E23"/>
          <w:sz w:val="21"/>
          <w:szCs w:val="21"/>
        </w:rPr>
        <w:t xml:space="preserve">in his personal capacity, joining as CTO + CPO and receiving equity in PropWeb (the “Founder Engagement”). [Full legal name].</w:t>
      </w:r>
    </w:p>
    <w:p>
      <w:pPr>
        <w:pStyle w:val="Heading1"/>
        <w:spacing w:after="120" w:before="260"/>
      </w:pPr>
      <w:r>
        <w:rPr>
          <w:rFonts w:ascii="Calibri" w:cs="Calibri" w:eastAsia="Calibri" w:hAnsi="Calibri"/>
          <w:b/>
          <w:bCs/>
          <w:color w:val="3770BF"/>
          <w:sz w:val="28"/>
          <w:szCs w:val="28"/>
        </w:rPr>
        <w:t xml:space="preserve">2. Structure of the deal</w:t>
      </w:r>
    </w:p>
    <w:p>
      <w:pPr>
        <w:spacing w:after="120" w:before="0" w:line="276"/>
      </w:pPr>
      <w:r>
        <w:rPr>
          <w:rFonts w:ascii="Calibri" w:cs="Calibri" w:eastAsia="Calibri" w:hAnsi="Calibri"/>
          <w:color w:val="1B1E23"/>
          <w:sz w:val="21"/>
          <w:szCs w:val="21"/>
        </w:rPr>
        <w:t xml:space="preserve">This document records two distinct but related arrangements, kept legally separate on purpose:</w:t>
      </w:r>
    </w:p>
    <w:p>
      <w:pPr>
        <w:pStyle w:val="ListParagraph"/>
        <w:numPr>
          <w:ilvl w:val="0"/>
          <w:numId w:val="1"/>
        </w:numPr>
        <w:spacing w:after="60" w:before="0" w:line="276"/>
      </w:pPr>
      <w:r>
        <w:rPr>
          <w:rFonts w:ascii="Calibri" w:cs="Calibri" w:eastAsia="Calibri" w:hAnsi="Calibri"/>
          <w:b/>
          <w:bCs/>
          <w:color w:val="1B1E23"/>
          <w:sz w:val="21"/>
          <w:szCs w:val="21"/>
        </w:rPr>
        <w:t xml:space="preserve">(a) Build engagement — </w:t>
      </w:r>
      <w:r>
        <w:rPr>
          <w:rFonts w:ascii="Calibri" w:cs="Calibri" w:eastAsia="Calibri" w:hAnsi="Calibri"/>
          <w:color w:val="1B1E23"/>
          <w:sz w:val="21"/>
          <w:szCs w:val="21"/>
        </w:rPr>
        <w:t xml:space="preserve">Trinetry builds a reduced-scope but fully functional PropWeb MVP for a fixed fee of ₹50,00,000 (Rupees Fifty Lakh), documented in a Master Services Agreement (MSA).</w:t>
      </w:r>
    </w:p>
    <w:p>
      <w:pPr>
        <w:pStyle w:val="ListParagraph"/>
        <w:numPr>
          <w:ilvl w:val="0"/>
          <w:numId w:val="1"/>
        </w:numPr>
        <w:spacing w:after="60" w:before="0" w:line="276"/>
      </w:pPr>
      <w:r>
        <w:rPr>
          <w:rFonts w:ascii="Calibri" w:cs="Calibri" w:eastAsia="Calibri" w:hAnsi="Calibri"/>
          <w:b/>
          <w:bCs/>
          <w:color w:val="1B1E23"/>
          <w:sz w:val="21"/>
          <w:szCs w:val="21"/>
        </w:rPr>
        <w:t xml:space="preserve">(b) Founder equity — </w:t>
      </w:r>
      <w:r>
        <w:rPr>
          <w:rFonts w:ascii="Calibri" w:cs="Calibri" w:eastAsia="Calibri" w:hAnsi="Calibri"/>
          <w:color w:val="1B1E23"/>
          <w:sz w:val="21"/>
          <w:szCs w:val="21"/>
        </w:rPr>
        <w:t xml:space="preserve">Yogesh personally receives equity in PropWeb for his ongoing CTO + CPO role, documented in a Shareholders’/Subscription Agreement.</w:t>
      </w:r>
    </w:p>
    <w:p>
      <w:pPr>
        <w:spacing w:after="120" w:before="0" w:line="276"/>
      </w:pPr>
      <w:r>
        <w:rPr>
          <w:rFonts w:ascii="Calibri" w:cs="Calibri" w:eastAsia="Calibri" w:hAnsi="Calibri"/>
          <w:i/>
          <w:iCs/>
          <w:color w:val="5B6470"/>
          <w:sz w:val="21"/>
          <w:szCs w:val="21"/>
        </w:rPr>
        <w:t xml:space="preserve">The cash fee flows to Trinetry; the equity flows to Yogesh personally. Neither is consideration for the other.</w:t>
      </w:r>
    </w:p>
    <w:p>
      <w:pPr>
        <w:pStyle w:val="Heading1"/>
        <w:spacing w:after="120" w:before="260"/>
      </w:pPr>
      <w:r>
        <w:rPr>
          <w:rFonts w:ascii="Calibri" w:cs="Calibri" w:eastAsia="Calibri" w:hAnsi="Calibri"/>
          <w:b/>
          <w:bCs/>
          <w:color w:val="3770BF"/>
          <w:sz w:val="28"/>
          <w:szCs w:val="28"/>
        </w:rPr>
        <w:t xml:space="preserve">3. Key terms at a glance</w:t>
      </w:r>
    </w:p>
    <w:tbl>
      <w:tblPr>
        <w:tblW w:type="dxa" w:w="9000"/>
        <w:tblBorders>
          <w:top w:val="single" w:color="DDE3EE" w:sz="4"/>
          <w:left w:val="single" w:color="DDE3EE" w:sz="4"/>
          <w:bottom w:val="single" w:color="DDE3EE" w:sz="4"/>
          <w:right w:val="single" w:color="DDE3EE" w:sz="4"/>
          <w:insideH w:val="single" w:color="DDE3EE" w:sz="4"/>
          <w:insideV w:val="single" w:color="DDE3EE" w:sz="4"/>
        </w:tblBorders>
      </w:tblPr>
      <w:tblGrid>
        <w:gridCol w:w="2700"/>
        <w:gridCol w:w="6300"/>
      </w:tblGrid>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Engagement</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Fixed-scope, fixed-price product build of the PropWeb MVP (P0 launch set), delivered by Trinetry.</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Contract value</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₹50,00,000 (Fifty Lakh), plus applicable GST. Milestone-linked (see §5).</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Scope</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P0 launch feature set — fully functional, on a real backend. Bengaluru only, rentals only, web-first. Full list in §6.</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Timeline</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≈18 weeks from mobilization to Bengaluru go-live (6 milestones — see §5).</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Team &amp; offices</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One engineer embedded on-site at PropWeb’s Mumbai (Bombay) office; the rest of the pod at Trinetry’s office. Staffing at Trinetry’s discretion under the fixed price.</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Founder equity</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30% of PropWeb (fully-diluted) to Yogesh — opening position. 3-month cliff, 1-year total vest, monthly thereafter (see §7).</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IP</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All build work product assigns to PropWeb on full payment of the milestone it relates to (see §8).</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Status</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Non-binding save for the Confidentiality and Exclusivity clauses (§10). Superseded by the signed MSA and equity agreement.</w:t>
            </w:r>
          </w:p>
        </w:tc>
      </w:tr>
    </w:tbl>
    <w:p>
      <w:pPr>
        <w:pStyle w:val="Heading1"/>
        <w:spacing w:after="120" w:before="260"/>
      </w:pPr>
      <w:r>
        <w:rPr>
          <w:rFonts w:ascii="Calibri" w:cs="Calibri" w:eastAsia="Calibri" w:hAnsi="Calibri"/>
          <w:b/>
          <w:bCs/>
          <w:color w:val="3770BF"/>
          <w:sz w:val="28"/>
          <w:szCs w:val="28"/>
        </w:rPr>
        <w:t xml:space="preserve">4. The build engagement</w:t>
      </w:r>
    </w:p>
    <w:p>
      <w:pPr>
        <w:spacing w:after="120" w:before="0" w:line="276"/>
      </w:pPr>
      <w:r>
        <w:rPr>
          <w:rFonts w:ascii="Calibri" w:cs="Calibri" w:eastAsia="Calibri" w:hAnsi="Calibri"/>
          <w:color w:val="1B1E23"/>
          <w:sz w:val="21"/>
          <w:szCs w:val="21"/>
        </w:rPr>
        <w:t xml:space="preserve">Trinetry will design, build, and launch a real, production-grade PropWeb MVP — not a prototype or the JSON demo. “Reduced scope, fully functional” means the P0 launch set is delivered end-to-end on live infrastructure (auth, KYC, payments, call-masking, hosting), with everything outside P0 explicitly deferred.</w:t>
      </w:r>
    </w:p>
    <w:p>
      <w:pPr>
        <w:pStyle w:val="Heading1"/>
        <w:spacing w:after="120" w:before="260"/>
      </w:pPr>
      <w:r>
        <w:rPr>
          <w:rFonts w:ascii="Calibri" w:cs="Calibri" w:eastAsia="Calibri" w:hAnsi="Calibri"/>
          <w:b/>
          <w:bCs/>
          <w:color w:val="3770BF"/>
          <w:sz w:val="28"/>
          <w:szCs w:val="28"/>
        </w:rPr>
        <w:t xml:space="preserve">5. Fee &amp; milestone schedule</w:t>
      </w:r>
    </w:p>
    <w:p>
      <w:pPr>
        <w:spacing w:after="120" w:before="0" w:line="276"/>
      </w:pPr>
      <w:r>
        <w:rPr>
          <w:rFonts w:ascii="Calibri" w:cs="Calibri" w:eastAsia="Calibri" w:hAnsi="Calibri"/>
          <w:color w:val="1B1E23"/>
          <w:sz w:val="21"/>
          <w:szCs w:val="21"/>
        </w:rPr>
        <w:t xml:space="preserve">Fixed fee ₹50,00,000 + GST, released against acceptance of each milestone. Each milestone is “accepted” on PropWeb’s written sign-off, deemed given if not disputed within 7 business days of delivery.</w:t>
      </w:r>
    </w:p>
    <w:tbl>
      <w:tblPr>
        <w:tblW w:type="dxa" w:w="8500"/>
        <w:tblBorders>
          <w:top w:val="single" w:color="DDE3EE" w:sz="4"/>
          <w:left w:val="single" w:color="DDE3EE" w:sz="4"/>
          <w:bottom w:val="single" w:color="DDE3EE" w:sz="4"/>
          <w:right w:val="single" w:color="DDE3EE" w:sz="4"/>
          <w:insideH w:val="single" w:color="DDE3EE" w:sz="4"/>
          <w:insideV w:val="single" w:color="DDE3EE" w:sz="4"/>
        </w:tblBorders>
      </w:tblPr>
      <w:tblGrid>
        <w:gridCol w:w="1650"/>
        <w:gridCol w:w="3350"/>
        <w:gridCol w:w="1150"/>
        <w:gridCol w:w="750"/>
        <w:gridCol w:w="1600"/>
      </w:tblGrid>
      <w:tr>
        <w:trPr>
          <w:tblHeader/>
        </w:trPr>
        <w:tc>
          <w:tcPr>
            <w:tcW w:type="dxa" w:w="16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Milestone</w:t>
            </w:r>
          </w:p>
        </w:tc>
        <w:tc>
          <w:tcPr>
            <w:tcW w:type="dxa" w:w="33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Deliverable</w:t>
            </w:r>
          </w:p>
        </w:tc>
        <w:tc>
          <w:tcPr>
            <w:tcW w:type="dxa" w:w="11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Target</w:t>
            </w:r>
          </w:p>
        </w:tc>
        <w:tc>
          <w:tcPr>
            <w:tcW w:type="dxa" w:w="7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t>
            </w:r>
          </w:p>
        </w:tc>
        <w:tc>
          <w:tcPr>
            <w:tcW w:type="dxa" w:w="16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Amount</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M0 · Mobilization</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Signed SOW, kickoff, pod mobilized, cloud/dev environments provisioned</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On signing</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M1 · Foundations</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AWS Mumbai infra + CI/CD, OTP auth, PostgreSQL/PostGIS schema, design system, responsive app shell</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4</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M2 · Discovery</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Locality search + filters, list + map view, owner listing creation (photos/rent/geotag), listing detail — on live data</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8</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20%</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₹10,00,000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M3 · Trust layer</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Owner &amp; Tenant KYC (Aadhaar offline XML/DigiLocker + PAN + ownership-proof review), Verified badges, Rental Trust Score live</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12</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20%</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₹10,00,000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M4 · Transactions</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Pay-to-connect (Razorpay), contact masking (Exotel), owner dashboard</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15</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M5 · Launch</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Security/hardening pass, UAT sign-off, production deploy, Bengaluru go-live</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18</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Total</w:t>
            </w:r>
          </w:p>
        </w:tc>
        <w:tc>
          <w:tcPr>
            <w:tcW w:type="dxa" w:w="3350"/>
            <w:shd w:fill="F3F6FF" w:color="auto" w:val="clear"/>
            <w:tcMar>
              <w:top w:type="dxa" w:w="60"/>
              <w:left w:type="dxa" w:w="90"/>
              <w:bottom w:type="dxa" w:w="60"/>
              <w:right w:type="dxa" w:w="90"/>
            </w:tcMar>
            <w:vAlign w:val="center"/>
          </w:tcPr>
          <w:p>
            <w:r>
              <w:rPr>
                <w:rFonts w:ascii="Calibri" w:cs="Calibri" w:eastAsia="Calibri" w:hAnsi="Calibri"/>
                <w:color w:val="1B1E23"/>
                <w:sz w:val="20"/>
                <w:szCs w:val="20"/>
              </w:rPr>
              <w:t xml:space="preserve"/>
            </w:r>
          </w:p>
        </w:tc>
        <w:tc>
          <w:tcPr>
            <w:tcW w:type="dxa" w:w="1150"/>
            <w:shd w:fill="F3F6FF" w:color="auto" w:val="clear"/>
            <w:tcMar>
              <w:top w:type="dxa" w:w="60"/>
              <w:left w:type="dxa" w:w="90"/>
              <w:bottom w:type="dxa" w:w="60"/>
              <w:right w:type="dxa" w:w="90"/>
            </w:tcMar>
            <w:vAlign w:val="center"/>
          </w:tcPr>
          <w:p>
            <w:r>
              <w:rPr>
                <w:rFonts w:ascii="Calibri" w:cs="Calibri" w:eastAsia="Calibri" w:hAnsi="Calibri"/>
                <w:color w:val="1B1E23"/>
                <w:sz w:val="20"/>
                <w:szCs w:val="20"/>
              </w:rPr>
              <w:t xml:space="preserve"/>
            </w:r>
          </w:p>
        </w:tc>
        <w:tc>
          <w:tcPr>
            <w:tcW w:type="dxa" w:w="750"/>
            <w:shd w:fill="F3F6FF" w:color="auto" w:val="clear"/>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100%</w:t>
            </w:r>
          </w:p>
        </w:tc>
        <w:tc>
          <w:tcPr>
            <w:tcW w:type="dxa" w:w="1600"/>
            <w:shd w:fill="F3F6FF" w:color="auto" w:val="clear"/>
            <w:tcMar>
              <w:top w:type="dxa" w:w="60"/>
              <w:left w:type="dxa" w:w="90"/>
              <w:bottom w:type="dxa" w:w="60"/>
              <w:right w:type="dxa" w:w="90"/>
            </w:tcMar>
            <w:vAlign w:val="center"/>
          </w:tcPr>
          <w:p>
            <w:pPr>
              <w:jc w:val="right"/>
            </w:pPr>
            <w:r>
              <w:rPr>
                <w:rFonts w:ascii="Calibri" w:cs="Calibri" w:eastAsia="Calibri" w:hAnsi="Calibri"/>
                <w:b/>
                <w:bCs/>
                <w:color w:val="1B1E23"/>
                <w:sz w:val="20"/>
                <w:szCs w:val="20"/>
              </w:rPr>
              <w:t xml:space="preserve">₹50,00,000</w:t>
            </w:r>
          </w:p>
        </w:tc>
      </w:tr>
    </w:tbl>
    <w:p>
      <w:pPr>
        <w:spacing w:after="120" w:before="80" w:line="276"/>
      </w:pPr>
      <w:r>
        <w:rPr>
          <w:rFonts w:ascii="Calibri" w:cs="Calibri" w:eastAsia="Calibri" w:hAnsi="Calibri"/>
          <w:i/>
          <w:iCs/>
          <w:color w:val="5B6470"/>
          <w:sz w:val="19"/>
          <w:szCs w:val="19"/>
        </w:rPr>
        <w:t xml:space="preserve">Timeline is indicative and runs from the date of the mobilization advance and PropWeb providing all access, accounts (Razorpay, Exotel, KYC vendor, cloud), content and decisions Trinetry needs. Client-caused delays extend dates day-for-day.</w:t>
      </w:r>
    </w:p>
    <w:p>
      <w:pPr>
        <w:pStyle w:val="Heading1"/>
        <w:spacing w:after="120" w:before="260"/>
      </w:pPr>
      <w:r>
        <w:rPr>
          <w:rFonts w:ascii="Calibri" w:cs="Calibri" w:eastAsia="Calibri" w:hAnsi="Calibri"/>
          <w:b/>
          <w:bCs/>
          <w:color w:val="3770BF"/>
          <w:sz w:val="28"/>
          <w:szCs w:val="28"/>
        </w:rPr>
        <w:t xml:space="preserve">6. Scope</w:t>
      </w:r>
    </w:p>
    <w:p>
      <w:pPr>
        <w:pStyle w:val="Heading2"/>
        <w:spacing w:after="80" w:before="200"/>
      </w:pPr>
      <w:r>
        <w:rPr>
          <w:rFonts w:ascii="Calibri" w:cs="Calibri" w:eastAsia="Calibri" w:hAnsi="Calibri"/>
          <w:b/>
          <w:bCs/>
          <w:color w:val="1B1E23"/>
          <w:sz w:val="23"/>
          <w:szCs w:val="23"/>
        </w:rPr>
        <w:t xml:space="preserve">6.1  In scope (P0 — delivered, fully functional)</w:t>
      </w:r>
    </w:p>
    <w:tbl>
      <w:tblPr>
        <w:tblW w:type="dxa" w:w="9000"/>
        <w:tblBorders>
          <w:top w:val="single" w:color="DDE3EE" w:sz="4"/>
          <w:left w:val="single" w:color="DDE3EE" w:sz="4"/>
          <w:bottom w:val="single" w:color="DDE3EE" w:sz="4"/>
          <w:right w:val="single" w:color="DDE3EE" w:sz="4"/>
          <w:insideH w:val="single" w:color="DDE3EE" w:sz="4"/>
          <w:insideV w:val="single" w:color="DDE3EE" w:sz="4"/>
        </w:tblBorders>
      </w:tblPr>
      <w:tblGrid>
        <w:gridCol w:w="2600"/>
        <w:gridCol w:w="6400"/>
      </w:tblGrid>
      <w:tr>
        <w:trPr>
          <w:tblHeader/>
        </w:trPr>
        <w:tc>
          <w:tcPr>
            <w:tcW w:type="dxa" w:w="26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Feature</w:t>
            </w:r>
          </w:p>
        </w:tc>
        <w:tc>
          <w:tcPr>
            <w:tcW w:type="dxa" w:w="64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What is delivered</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Search &amp; map discovery</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Locality search; BHK / budget / furnishing / tenant-type filters; list + map view (Ola Maps / MapmyIndia).</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Owner listing creation</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Post property with photos, rent, deposit, preferences and geotag.</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Trust badges</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Verified Owner (Aadhaar/PAN + ownership proof) and Verified Tenant (employment/income KYC).</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Rental Trust Score</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0–100 score from verification level, response rate, listing freshness and reviews.</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Pay-to-connect</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Contact unlock for a fee via Razorpay; kills fake/casual enquiries.</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Contact masking</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Exotel virtual numbers so owner phone numbers stay private.</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Supporting platform</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OTP login, owner &amp; tenant KYC flows (legal route), owner dashboard, responsive mobile-first web — one city (Bengaluru), rentals only, on a real backend (Node/TypeScript, PostgreSQL/PostGIS, Typesense, AWS Mumbai).</w:t>
            </w:r>
          </w:p>
        </w:tc>
      </w:tr>
    </w:tbl>
    <w:p>
      <w:pPr>
        <w:pStyle w:val="Heading2"/>
        <w:spacing w:after="80" w:before="200"/>
      </w:pPr>
      <w:r>
        <w:rPr>
          <w:rFonts w:ascii="Calibri" w:cs="Calibri" w:eastAsia="Calibri" w:hAnsi="Calibri"/>
          <w:b/>
          <w:bCs/>
          <w:color w:val="1B1E23"/>
          <w:sz w:val="23"/>
          <w:szCs w:val="23"/>
        </w:rPr>
        <w:t xml:space="preserve">6.2  Out of scope for this engagement</w:t>
      </w:r>
    </w:p>
    <w:p>
      <w:pPr>
        <w:spacing w:after="120" w:before="0" w:line="276"/>
      </w:pPr>
      <w:r>
        <w:rPr>
          <w:rFonts w:ascii="Calibri" w:cs="Calibri" w:eastAsia="Calibri" w:hAnsi="Calibri"/>
          <w:color w:val="1B1E23"/>
          <w:sz w:val="21"/>
          <w:szCs w:val="21"/>
        </w:rPr>
        <w:t xml:space="preserve">The following are explicitly excluded from the ₹50L build and remain future phases (a change request and separate fee apply if brought forward):</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AI Match Score — including rule-based matchmaking (P1, future phase).</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Digital rent agreement, Aadhaar eSign and e-stamping (P1).</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Fraud / broker detection and duplicate-photo detection (P1).</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Services marketplace — movers, cleaning, furniture, interiors (P2).</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Resale / buy flows.</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Native mobile apps (iOS/Android).</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Multi-city expansion (single-city Bengaluru only).</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In-app rent payment / rent collection.</w:t>
      </w:r>
    </w:p>
    <w:p>
      <w:pPr>
        <w:pStyle w:val="ListParagraph"/>
        <w:numPr>
          <w:ilvl w:val="0"/>
          <w:numId w:val="1"/>
        </w:numPr>
        <w:spacing w:after="60" w:before="0" w:line="276"/>
      </w:pPr>
      <w:r>
        <w:rPr>
          <w:rFonts w:ascii="Calibri" w:cs="Calibri" w:eastAsia="Calibri" w:hAnsi="Calibri"/>
          <w:b/>
          <w:bCs/>
          <w:color w:val="1B1E23"/>
          <w:sz w:val="21"/>
          <w:szCs w:val="21"/>
        </w:rPr>
        <w:t xml:space="preserve"/>
      </w:r>
      <w:r>
        <w:rPr>
          <w:rFonts w:ascii="Calibri" w:cs="Calibri" w:eastAsia="Calibri" w:hAnsi="Calibri"/>
          <w:color w:val="1B1E23"/>
          <w:sz w:val="21"/>
          <w:szCs w:val="21"/>
        </w:rPr>
        <w:t xml:space="preserve">Tenant criminal background checks.</w:t>
      </w:r>
    </w:p>
    <w:p>
      <w:pPr>
        <w:pStyle w:val="Heading1"/>
        <w:spacing w:after="120" w:before="260"/>
      </w:pPr>
      <w:r>
        <w:rPr>
          <w:rFonts w:ascii="Calibri" w:cs="Calibri" w:eastAsia="Calibri" w:hAnsi="Calibri"/>
          <w:b/>
          <w:bCs/>
          <w:color w:val="3770BF"/>
          <w:sz w:val="28"/>
          <w:szCs w:val="28"/>
        </w:rPr>
        <w:t xml:space="preserve">7. Founder equity (Yogesh)</w:t>
      </w:r>
    </w:p>
    <w:tbl>
      <w:tblPr>
        <w:tblW w:type="dxa" w:w="9000"/>
        <w:tblBorders>
          <w:top w:val="single" w:color="DDE3EE" w:sz="4"/>
          <w:left w:val="single" w:color="DDE3EE" w:sz="4"/>
          <w:bottom w:val="single" w:color="DDE3EE" w:sz="4"/>
          <w:right w:val="single" w:color="DDE3EE" w:sz="4"/>
          <w:insideH w:val="single" w:color="DDE3EE" w:sz="4"/>
          <w:insideV w:val="single" w:color="DDE3EE" w:sz="4"/>
        </w:tblBorders>
      </w:tblPr>
      <w:tblGrid>
        <w:gridCol w:w="2700"/>
        <w:gridCol w:w="6300"/>
      </w:tblGrid>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Grantee</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Yogesh [full name], personally, in his role as CTO + CPO of PropWeb.</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Grant</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30% of PropWeb on a fully-diluted basis. Stated as the opening position to start the negotiation; final percentage subject to agreement.</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Vesting</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3-month cliff; total vesting over 12 months; monthly vesting after the cliff. (25% at cliff, remainder monthly across the year — to confirm.)</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Instrument</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Founder shares / share subscription under a Shareholders’ Agreement, or ESOP — structure to be set by counsel/CA.</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Leaver &amp; acceleration</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Good/bad-leaver treatment and change-of-control acceleration [to negotiate].</w:t>
            </w:r>
          </w:p>
        </w:tc>
      </w:tr>
      <w:tr>
        <w:tc>
          <w:tcPr>
            <w:tcW w:type="dxa" w:w="270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Governance</w:t>
            </w:r>
          </w:p>
        </w:tc>
        <w:tc>
          <w:tcPr>
            <w:tcW w:type="dxa" w:w="6300"/>
            <w:tcMar>
              <w:top w:type="dxa" w:w="60"/>
              <w:left w:type="dxa" w:w="90"/>
              <w:bottom w:type="dxa" w:w="60"/>
              <w:right w:type="dxa" w:w="90"/>
            </w:tcMar>
            <w:vAlign w:val="center"/>
          </w:tcPr>
          <w:p>
            <w:r>
              <w:rPr>
                <w:rFonts w:ascii="Calibri" w:cs="Calibri" w:eastAsia="Calibri" w:hAnsi="Calibri"/>
                <w:color w:val="1B1E23"/>
                <w:sz w:val="20"/>
                <w:szCs w:val="20"/>
              </w:rPr>
              <w:t xml:space="preserve">Board seat / observer rights, reserved matters and information rights [to negotiate].</w:t>
            </w:r>
          </w:p>
        </w:tc>
      </w:tr>
    </w:tbl>
    <w:p>
      <w:pPr>
        <w:spacing w:after="120" w:before="80" w:line="276"/>
      </w:pPr>
      <w:r>
        <w:rPr>
          <w:rFonts w:ascii="Calibri" w:cs="Calibri" w:eastAsia="Calibri" w:hAnsi="Calibri"/>
          <w:i/>
          <w:iCs/>
          <w:color w:val="5B6470"/>
          <w:sz w:val="21"/>
          <w:szCs w:val="21"/>
        </w:rPr>
        <w:t xml:space="preserve">This equity is Yogesh’s personal compensation for the ongoing CTO + CPO role and is separate from, and additional to, Trinetry’s build fee.</w:t>
      </w:r>
    </w:p>
    <w:p>
      <w:pPr>
        <w:pStyle w:val="Heading1"/>
        <w:spacing w:after="120" w:before="260"/>
      </w:pPr>
      <w:r>
        <w:rPr>
          <w:rFonts w:ascii="Calibri" w:cs="Calibri" w:eastAsia="Calibri" w:hAnsi="Calibri"/>
          <w:b/>
          <w:bCs/>
          <w:color w:val="3770BF"/>
          <w:sz w:val="28"/>
          <w:szCs w:val="28"/>
        </w:rPr>
        <w:t xml:space="preserve">8. Team, offices &amp; IP</w:t>
      </w:r>
    </w:p>
    <w:p>
      <w:pPr>
        <w:pStyle w:val="ListParagraph"/>
        <w:numPr>
          <w:ilvl w:val="0"/>
          <w:numId w:val="1"/>
        </w:numPr>
        <w:spacing w:after="60" w:before="0" w:line="276"/>
      </w:pPr>
      <w:r>
        <w:rPr>
          <w:rFonts w:ascii="Calibri" w:cs="Calibri" w:eastAsia="Calibri" w:hAnsi="Calibri"/>
          <w:b/>
          <w:bCs/>
          <w:color w:val="1B1E23"/>
          <w:sz w:val="21"/>
          <w:szCs w:val="21"/>
        </w:rPr>
        <w:t xml:space="preserve">Delivery pod — </w:t>
      </w:r>
      <w:r>
        <w:rPr>
          <w:rFonts w:ascii="Calibri" w:cs="Calibri" w:eastAsia="Calibri" w:hAnsi="Calibri"/>
          <w:color w:val="1B1E23"/>
          <w:sz w:val="21"/>
          <w:szCs w:val="21"/>
        </w:rPr>
        <w:t xml:space="preserve">Trinetry delivers with a dedicated pod (full-stack lead, backend, frontend engineers, plus fractional design and DevOps). Exact headcount and staffing are Trinetry’s discretion so long as milestones and timeline are met.</w:t>
      </w:r>
    </w:p>
    <w:p>
      <w:pPr>
        <w:pStyle w:val="ListParagraph"/>
        <w:numPr>
          <w:ilvl w:val="0"/>
          <w:numId w:val="1"/>
        </w:numPr>
        <w:spacing w:after="60" w:before="0" w:line="276"/>
      </w:pPr>
      <w:r>
        <w:rPr>
          <w:rFonts w:ascii="Calibri" w:cs="Calibri" w:eastAsia="Calibri" w:hAnsi="Calibri"/>
          <w:b/>
          <w:bCs/>
          <w:color w:val="1B1E23"/>
          <w:sz w:val="21"/>
          <w:szCs w:val="21"/>
        </w:rPr>
        <w:t xml:space="preserve">Offices — </w:t>
      </w:r>
      <w:r>
        <w:rPr>
          <w:rFonts w:ascii="Calibri" w:cs="Calibri" w:eastAsia="Calibri" w:hAnsi="Calibri"/>
          <w:color w:val="1B1E23"/>
          <w:sz w:val="21"/>
          <w:szCs w:val="21"/>
        </w:rPr>
        <w:t xml:space="preserve">One engineer sits on-site at PropWeb’s Mumbai (Bombay) office for coordination, integration and knowledge transfer; the remaining pod works from Trinetry’s office [city].</w:t>
      </w:r>
    </w:p>
    <w:p>
      <w:pPr>
        <w:pStyle w:val="ListParagraph"/>
        <w:numPr>
          <w:ilvl w:val="0"/>
          <w:numId w:val="1"/>
        </w:numPr>
        <w:spacing w:after="60" w:before="0" w:line="276"/>
      </w:pPr>
      <w:r>
        <w:rPr>
          <w:rFonts w:ascii="Calibri" w:cs="Calibri" w:eastAsia="Calibri" w:hAnsi="Calibri"/>
          <w:b/>
          <w:bCs/>
          <w:color w:val="1B1E23"/>
          <w:sz w:val="21"/>
          <w:szCs w:val="21"/>
        </w:rPr>
        <w:t xml:space="preserve">IP assignment — </w:t>
      </w:r>
      <w:r>
        <w:rPr>
          <w:rFonts w:ascii="Calibri" w:cs="Calibri" w:eastAsia="Calibri" w:hAnsi="Calibri"/>
          <w:color w:val="1B1E23"/>
          <w:sz w:val="21"/>
          <w:szCs w:val="21"/>
        </w:rPr>
        <w:t xml:space="preserve">All software, code, designs and deliverables created for PropWeb assign to PropWeb upon full payment of the related milestone. Trinetry retains its pre-existing tools, libraries and know-how, licensed to PropWeb as needed to run the platform.</w:t>
      </w:r>
    </w:p>
    <w:p>
      <w:pPr>
        <w:pStyle w:val="Heading1"/>
        <w:spacing w:after="120" w:before="260"/>
      </w:pPr>
      <w:r>
        <w:rPr>
          <w:rFonts w:ascii="Calibri" w:cs="Calibri" w:eastAsia="Calibri" w:hAnsi="Calibri"/>
          <w:b/>
          <w:bCs/>
          <w:color w:val="3770BF"/>
          <w:sz w:val="28"/>
          <w:szCs w:val="28"/>
        </w:rPr>
        <w:t xml:space="preserve">9. Roadmap (context)</w:t>
      </w:r>
    </w:p>
    <w:p>
      <w:pPr>
        <w:spacing w:after="120" w:before="0" w:line="276"/>
      </w:pPr>
      <w:r>
        <w:rPr>
          <w:rFonts w:ascii="Calibri" w:cs="Calibri" w:eastAsia="Calibri" w:hAnsi="Calibri"/>
          <w:color w:val="1B1E23"/>
          <w:sz w:val="21"/>
          <w:szCs w:val="21"/>
        </w:rPr>
        <w:t xml:space="preserve">Aligned to the PropWeb build phases. This engagement delivers Phase 0 + the P0 slice of Phase 1; later phases are separate.</w:t>
      </w:r>
    </w:p>
    <w:p>
      <w:pPr>
        <w:pStyle w:val="ListParagraph"/>
        <w:numPr>
          <w:ilvl w:val="0"/>
          <w:numId w:val="1"/>
        </w:numPr>
        <w:spacing w:after="60" w:before="0" w:line="276"/>
      </w:pPr>
      <w:r>
        <w:rPr>
          <w:rFonts w:ascii="Calibri" w:cs="Calibri" w:eastAsia="Calibri" w:hAnsi="Calibri"/>
          <w:b/>
          <w:bCs/>
          <w:color w:val="1B1E23"/>
          <w:sz w:val="21"/>
          <w:szCs w:val="21"/>
        </w:rPr>
        <w:t xml:space="preserve">Phase 0 — </w:t>
      </w:r>
      <w:r>
        <w:rPr>
          <w:rFonts w:ascii="Calibri" w:cs="Calibri" w:eastAsia="Calibri" w:hAnsi="Calibri"/>
          <w:color w:val="1B1E23"/>
          <w:sz w:val="21"/>
          <w:szCs w:val="21"/>
        </w:rPr>
        <w:t xml:space="preserve">setup, infra, auth, foundations (weeks 0–4).</w:t>
      </w:r>
    </w:p>
    <w:p>
      <w:pPr>
        <w:pStyle w:val="ListParagraph"/>
        <w:numPr>
          <w:ilvl w:val="0"/>
          <w:numId w:val="1"/>
        </w:numPr>
        <w:spacing w:after="60" w:before="0" w:line="276"/>
      </w:pPr>
      <w:r>
        <w:rPr>
          <w:rFonts w:ascii="Calibri" w:cs="Calibri" w:eastAsia="Calibri" w:hAnsi="Calibri"/>
          <w:b/>
          <w:bCs/>
          <w:color w:val="1B1E23"/>
          <w:sz w:val="21"/>
          <w:szCs w:val="21"/>
        </w:rPr>
        <w:t xml:space="preserve">Phase 1 (this contract) — </w:t>
      </w:r>
      <w:r>
        <w:rPr>
          <w:rFonts w:ascii="Calibri" w:cs="Calibri" w:eastAsia="Calibri" w:hAnsi="Calibri"/>
          <w:color w:val="1B1E23"/>
          <w:sz w:val="21"/>
          <w:szCs w:val="21"/>
        </w:rPr>
        <w:t xml:space="preserve">the P0 launch set delivered in this engagement; Bengaluru go-live (~week 18).</w:t>
      </w:r>
    </w:p>
    <w:p>
      <w:pPr>
        <w:pStyle w:val="ListParagraph"/>
        <w:numPr>
          <w:ilvl w:val="0"/>
          <w:numId w:val="1"/>
        </w:numPr>
        <w:spacing w:after="60" w:before="0" w:line="276"/>
      </w:pPr>
      <w:r>
        <w:rPr>
          <w:rFonts w:ascii="Calibri" w:cs="Calibri" w:eastAsia="Calibri" w:hAnsi="Calibri"/>
          <w:b/>
          <w:bCs/>
          <w:color w:val="1B1E23"/>
          <w:sz w:val="21"/>
          <w:szCs w:val="21"/>
        </w:rPr>
        <w:t xml:space="preserve">Phase 2 (future) — </w:t>
      </w:r>
      <w:r>
        <w:rPr>
          <w:rFonts w:ascii="Calibri" w:cs="Calibri" w:eastAsia="Calibri" w:hAnsi="Calibri"/>
          <w:color w:val="1B1E23"/>
          <w:sz w:val="21"/>
          <w:szCs w:val="21"/>
        </w:rPr>
        <w:t xml:space="preserve">AI Match, rent agreements, fraud detection (months 4–9).</w:t>
      </w:r>
    </w:p>
    <w:p>
      <w:pPr>
        <w:pStyle w:val="ListParagraph"/>
        <w:numPr>
          <w:ilvl w:val="0"/>
          <w:numId w:val="1"/>
        </w:numPr>
        <w:spacing w:after="60" w:before="0" w:line="276"/>
      </w:pPr>
      <w:r>
        <w:rPr>
          <w:rFonts w:ascii="Calibri" w:cs="Calibri" w:eastAsia="Calibri" w:hAnsi="Calibri"/>
          <w:b/>
          <w:bCs/>
          <w:color w:val="1B1E23"/>
          <w:sz w:val="21"/>
          <w:szCs w:val="21"/>
        </w:rPr>
        <w:t xml:space="preserve">Phase 3 (future) — </w:t>
      </w:r>
      <w:r>
        <w:rPr>
          <w:rFonts w:ascii="Calibri" w:cs="Calibri" w:eastAsia="Calibri" w:hAnsi="Calibri"/>
          <w:color w:val="1B1E23"/>
          <w:sz w:val="21"/>
          <w:szCs w:val="21"/>
        </w:rPr>
        <w:t xml:space="preserve">services marketplace + multi-city (months 9–15).</w:t>
      </w:r>
    </w:p>
    <w:p>
      <w:pPr>
        <w:pStyle w:val="Heading1"/>
        <w:spacing w:after="120" w:before="260"/>
      </w:pPr>
      <w:r>
        <w:rPr>
          <w:rFonts w:ascii="Calibri" w:cs="Calibri" w:eastAsia="Calibri" w:hAnsi="Calibri"/>
          <w:b/>
          <w:bCs/>
          <w:color w:val="3770BF"/>
          <w:sz w:val="28"/>
          <w:szCs w:val="28"/>
        </w:rPr>
        <w:t xml:space="preserve">10. Binding provisions &amp; conditions</w:t>
      </w:r>
    </w:p>
    <w:p>
      <w:pPr>
        <w:pStyle w:val="ListParagraph"/>
        <w:numPr>
          <w:ilvl w:val="0"/>
          <w:numId w:val="1"/>
        </w:numPr>
        <w:spacing w:after="60" w:before="0" w:line="276"/>
      </w:pPr>
      <w:r>
        <w:rPr>
          <w:rFonts w:ascii="Calibri" w:cs="Calibri" w:eastAsia="Calibri" w:hAnsi="Calibri"/>
          <w:b/>
          <w:bCs/>
          <w:color w:val="1B1E23"/>
          <w:sz w:val="21"/>
          <w:szCs w:val="21"/>
        </w:rPr>
        <w:t xml:space="preserve">Non-binding — </w:t>
      </w:r>
      <w:r>
        <w:rPr>
          <w:rFonts w:ascii="Calibri" w:cs="Calibri" w:eastAsia="Calibri" w:hAnsi="Calibri"/>
          <w:color w:val="1B1E23"/>
          <w:sz w:val="21"/>
          <w:szCs w:val="21"/>
        </w:rPr>
        <w:t xml:space="preserve">This term sheet is non-binding and creates no obligation to enter the definitive agreements, except §Confidentiality and §Exclusivity below, which are binding.</w:t>
      </w:r>
    </w:p>
    <w:p>
      <w:pPr>
        <w:pStyle w:val="ListParagraph"/>
        <w:numPr>
          <w:ilvl w:val="0"/>
          <w:numId w:val="1"/>
        </w:numPr>
        <w:spacing w:after="60" w:before="0" w:line="276"/>
      </w:pPr>
      <w:r>
        <w:rPr>
          <w:rFonts w:ascii="Calibri" w:cs="Calibri" w:eastAsia="Calibri" w:hAnsi="Calibri"/>
          <w:b/>
          <w:bCs/>
          <w:color w:val="1B1E23"/>
          <w:sz w:val="21"/>
          <w:szCs w:val="21"/>
        </w:rPr>
        <w:t xml:space="preserve">Confidentiality — </w:t>
      </w:r>
      <w:r>
        <w:rPr>
          <w:rFonts w:ascii="Calibri" w:cs="Calibri" w:eastAsia="Calibri" w:hAnsi="Calibri"/>
          <w:color w:val="1B1E23"/>
          <w:sz w:val="21"/>
          <w:szCs w:val="21"/>
        </w:rPr>
        <w:t xml:space="preserve">Each party keeps the other’s confidential information and the terms of this document private.</w:t>
      </w:r>
    </w:p>
    <w:p>
      <w:pPr>
        <w:pStyle w:val="ListParagraph"/>
        <w:numPr>
          <w:ilvl w:val="0"/>
          <w:numId w:val="1"/>
        </w:numPr>
        <w:spacing w:after="60" w:before="0" w:line="276"/>
      </w:pPr>
      <w:r>
        <w:rPr>
          <w:rFonts w:ascii="Calibri" w:cs="Calibri" w:eastAsia="Calibri" w:hAnsi="Calibri"/>
          <w:b/>
          <w:bCs/>
          <w:color w:val="1B1E23"/>
          <w:sz w:val="21"/>
          <w:szCs w:val="21"/>
        </w:rPr>
        <w:t xml:space="preserve">Exclusivity — </w:t>
      </w:r>
      <w:r>
        <w:rPr>
          <w:rFonts w:ascii="Calibri" w:cs="Calibri" w:eastAsia="Calibri" w:hAnsi="Calibri"/>
          <w:color w:val="1B1E23"/>
          <w:sz w:val="21"/>
          <w:szCs w:val="21"/>
        </w:rPr>
        <w:t xml:space="preserve">For [30/45] days from signing, the parties negotiate exclusively with each other and do not solicit competing arrangements for this build.</w:t>
      </w:r>
    </w:p>
    <w:p>
      <w:pPr>
        <w:pStyle w:val="ListParagraph"/>
        <w:numPr>
          <w:ilvl w:val="0"/>
          <w:numId w:val="1"/>
        </w:numPr>
        <w:spacing w:after="60" w:before="0" w:line="276"/>
      </w:pPr>
      <w:r>
        <w:rPr>
          <w:rFonts w:ascii="Calibri" w:cs="Calibri" w:eastAsia="Calibri" w:hAnsi="Calibri"/>
          <w:b/>
          <w:bCs/>
          <w:color w:val="1B1E23"/>
          <w:sz w:val="21"/>
          <w:szCs w:val="21"/>
        </w:rPr>
        <w:t xml:space="preserve">Conditions precedent — </w:t>
      </w:r>
      <w:r>
        <w:rPr>
          <w:rFonts w:ascii="Calibri" w:cs="Calibri" w:eastAsia="Calibri" w:hAnsi="Calibri"/>
          <w:color w:val="1B1E23"/>
          <w:sz w:val="21"/>
          <w:szCs w:val="21"/>
        </w:rPr>
        <w:t xml:space="preserve">Definitive MSA and equity agreement executed; PropWeb entity in place; budgets approved by both CEOs; legal/CA review complete.</w:t>
      </w:r>
    </w:p>
    <w:p>
      <w:pPr>
        <w:pStyle w:val="ListParagraph"/>
        <w:numPr>
          <w:ilvl w:val="0"/>
          <w:numId w:val="1"/>
        </w:numPr>
        <w:spacing w:after="60" w:before="0" w:line="276"/>
      </w:pPr>
      <w:r>
        <w:rPr>
          <w:rFonts w:ascii="Calibri" w:cs="Calibri" w:eastAsia="Calibri" w:hAnsi="Calibri"/>
          <w:b/>
          <w:bCs/>
          <w:color w:val="1B1E23"/>
          <w:sz w:val="21"/>
          <w:szCs w:val="21"/>
        </w:rPr>
        <w:t xml:space="preserve">Governing law — </w:t>
      </w:r>
      <w:r>
        <w:rPr>
          <w:rFonts w:ascii="Calibri" w:cs="Calibri" w:eastAsia="Calibri" w:hAnsi="Calibri"/>
          <w:color w:val="1B1E23"/>
          <w:sz w:val="21"/>
          <w:szCs w:val="21"/>
        </w:rPr>
        <w:t xml:space="preserve">This term sheet and the definitive agreements are governed by the laws of India; courts at [Mumbai / Bengaluru] have jurisdiction.</w:t>
      </w:r>
    </w:p>
    <w:p>
      <w:pPr>
        <w:pStyle w:val="Heading1"/>
        <w:spacing w:after="120" w:before="260"/>
      </w:pPr>
      <w:r>
        <w:rPr>
          <w:rFonts w:ascii="Calibri" w:cs="Calibri" w:eastAsia="Calibri" w:hAnsi="Calibri"/>
          <w:b/>
          <w:bCs/>
          <w:color w:val="3770BF"/>
          <w:sz w:val="28"/>
          <w:szCs w:val="28"/>
        </w:rPr>
        <w:t xml:space="preserve">11. Legal &amp; compliance notes</w:t>
      </w:r>
    </w:p>
    <w:tbl>
      <w:tblPr>
        <w:tblW w:type="dxa" w:w="9000"/>
        <w:tblBorders>
          <w:top w:val="single" w:color="DDE3EE" w:sz="4"/>
          <w:left w:val="single" w:color="DDE3EE" w:sz="4"/>
          <w:bottom w:val="single" w:color="DDE3EE" w:sz="4"/>
          <w:right w:val="single" w:color="DDE3EE" w:sz="4"/>
          <w:insideH w:val="single" w:color="DDE3EE" w:sz="4"/>
          <w:insideV w:val="single" w:color="DDE3EE" w:sz="4"/>
        </w:tblBorders>
      </w:tblPr>
      <w:tblGrid>
        <w:gridCol w:w="2200"/>
        <w:gridCol w:w="6800"/>
      </w:tblGrid>
      <w:tr>
        <w:trPr>
          <w:tblHeader/>
        </w:trPr>
        <w:tc>
          <w:tcPr>
            <w:tcW w:type="dxa" w:w="22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Topic</w:t>
            </w:r>
          </w:p>
        </w:tc>
        <w:tc>
          <w:tcPr>
            <w:tcW w:type="dxa" w:w="68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Note</w:t>
            </w:r>
          </w:p>
        </w:tc>
      </w:tr>
      <w:tr>
        <w:tc>
          <w:tcPr>
            <w:tcW w:type="dxa" w:w="2200"/>
            <w:tcMar>
              <w:top w:type="dxa" w:w="60"/>
              <w:left w:type="dxa" w:w="90"/>
              <w:bottom w:type="dxa" w:w="60"/>
              <w:right w:type="dxa" w:w="90"/>
            </w:tcMar>
            <w:vAlign w:val="center"/>
          </w:tcPr>
          <w:p>
            <w:r>
              <w:rPr>
                <w:rFonts w:ascii="Calibri" w:cs="Calibri" w:eastAsia="Calibri" w:hAnsi="Calibri"/>
                <w:b/>
                <w:bCs/>
                <w:color w:val="1B1E23"/>
                <w:sz w:val="20"/>
                <w:szCs w:val="20"/>
              </w:rPr>
              <w:t xml:space="preserve">Aadhaar / KYC</w:t>
            </w:r>
          </w:p>
        </w:tc>
        <w:tc>
          <w:tcPr>
            <w:tcW w:type="dxa" w:w="6800"/>
            <w:tcMar>
              <w:top w:type="dxa" w:w="60"/>
              <w:left w:type="dxa" w:w="90"/>
              <w:bottom w:type="dxa" w:w="60"/>
              <w:right w:type="dxa" w:w="90"/>
            </w:tcMar>
            <w:vAlign w:val="center"/>
          </w:tcPr>
          <w:p>
            <w:r>
              <w:rPr>
                <w:rFonts w:ascii="Calibri" w:cs="Calibri" w:eastAsia="Calibri" w:hAnsi="Calibri"/>
                <w:color w:val="1B1E23"/>
                <w:sz w:val="20"/>
                <w:szCs w:val="20"/>
              </w:rPr>
              <w:t xml:space="preserve">Private companies cannot call Aadhaar eKYC APIs directly (Supreme Court, Puttaswamy 2018). Identity verification uses only the legal routes: Aadhaar offline XML, DigiLocker, or a licensed KYC partner (Surepass/IDfy class).</w:t>
            </w:r>
          </w:p>
        </w:tc>
      </w:tr>
      <w:tr>
        <w:tc>
          <w:tcPr>
            <w:tcW w:type="dxa" w:w="2200"/>
            <w:tcMar>
              <w:top w:type="dxa" w:w="60"/>
              <w:left w:type="dxa" w:w="90"/>
              <w:bottom w:type="dxa" w:w="60"/>
              <w:right w:type="dxa" w:w="90"/>
            </w:tcMar>
            <w:vAlign w:val="center"/>
          </w:tcPr>
          <w:p>
            <w:r>
              <w:rPr>
                <w:rFonts w:ascii="Calibri" w:cs="Calibri" w:eastAsia="Calibri" w:hAnsi="Calibri"/>
                <w:b/>
                <w:bCs/>
                <w:color w:val="1B1E23"/>
                <w:sz w:val="20"/>
                <w:szCs w:val="20"/>
              </w:rPr>
              <w:t xml:space="preserve">Data residency</w:t>
            </w:r>
          </w:p>
        </w:tc>
        <w:tc>
          <w:tcPr>
            <w:tcW w:type="dxa" w:w="6800"/>
            <w:tcMar>
              <w:top w:type="dxa" w:w="60"/>
              <w:left w:type="dxa" w:w="90"/>
              <w:bottom w:type="dxa" w:w="60"/>
              <w:right w:type="dxa" w:w="90"/>
            </w:tcMar>
            <w:vAlign w:val="center"/>
          </w:tcPr>
          <w:p>
            <w:r>
              <w:rPr>
                <w:rFonts w:ascii="Calibri" w:cs="Calibri" w:eastAsia="Calibri" w:hAnsi="Calibri"/>
                <w:color w:val="1B1E23"/>
                <w:sz w:val="20"/>
                <w:szCs w:val="20"/>
              </w:rPr>
              <w:t xml:space="preserve">KYC and user data hosted in India (AWS Mumbai) for DPDP Act compliance.</w:t>
            </w:r>
          </w:p>
        </w:tc>
      </w:tr>
      <w:tr>
        <w:tc>
          <w:tcPr>
            <w:tcW w:type="dxa" w:w="2200"/>
            <w:tcMar>
              <w:top w:type="dxa" w:w="60"/>
              <w:left w:type="dxa" w:w="90"/>
              <w:bottom w:type="dxa" w:w="60"/>
              <w:right w:type="dxa" w:w="90"/>
            </w:tcMar>
            <w:vAlign w:val="center"/>
          </w:tcPr>
          <w:p>
            <w:r>
              <w:rPr>
                <w:rFonts w:ascii="Calibri" w:cs="Calibri" w:eastAsia="Calibri" w:hAnsi="Calibri"/>
                <w:b/>
                <w:bCs/>
                <w:color w:val="1B1E23"/>
                <w:sz w:val="20"/>
                <w:szCs w:val="20"/>
              </w:rPr>
              <w:t xml:space="preserve">Taxes</w:t>
            </w:r>
          </w:p>
        </w:tc>
        <w:tc>
          <w:tcPr>
            <w:tcW w:type="dxa" w:w="6800"/>
            <w:tcMar>
              <w:top w:type="dxa" w:w="60"/>
              <w:left w:type="dxa" w:w="90"/>
              <w:bottom w:type="dxa" w:w="60"/>
              <w:right w:type="dxa" w:w="90"/>
            </w:tcMar>
            <w:vAlign w:val="center"/>
          </w:tcPr>
          <w:p>
            <w:r>
              <w:rPr>
                <w:rFonts w:ascii="Calibri" w:cs="Calibri" w:eastAsia="Calibri" w:hAnsi="Calibri"/>
                <w:color w:val="1B1E23"/>
                <w:sz w:val="20"/>
                <w:szCs w:val="20"/>
              </w:rPr>
              <w:t xml:space="preserve">The ₹50,00,000 build fee is exclusive of GST, which is charged additionally. TDS (Income-tax Act) applies to payments to Trinetry and is deducted at source. Equity issuance carries its own stamp duty and tax treatment.</w:t>
            </w:r>
          </w:p>
        </w:tc>
      </w:tr>
      <w:tr>
        <w:tc>
          <w:tcPr>
            <w:tcW w:type="dxa" w:w="2200"/>
            <w:tcMar>
              <w:top w:type="dxa" w:w="60"/>
              <w:left w:type="dxa" w:w="90"/>
              <w:bottom w:type="dxa" w:w="60"/>
              <w:right w:type="dxa" w:w="90"/>
            </w:tcMar>
            <w:vAlign w:val="center"/>
          </w:tcPr>
          <w:p>
            <w:r>
              <w:rPr>
                <w:rFonts w:ascii="Calibri" w:cs="Calibri" w:eastAsia="Calibri" w:hAnsi="Calibri"/>
                <w:b/>
                <w:bCs/>
                <w:color w:val="1B1E23"/>
                <w:sz w:val="20"/>
                <w:szCs w:val="20"/>
              </w:rPr>
              <w:t xml:space="preserve">Instruments</w:t>
            </w:r>
          </w:p>
        </w:tc>
        <w:tc>
          <w:tcPr>
            <w:tcW w:type="dxa" w:w="6800"/>
            <w:tcMar>
              <w:top w:type="dxa" w:w="60"/>
              <w:left w:type="dxa" w:w="90"/>
              <w:bottom w:type="dxa" w:w="60"/>
              <w:right w:type="dxa" w:w="90"/>
            </w:tcMar>
            <w:vAlign w:val="center"/>
          </w:tcPr>
          <w:p>
            <w:r>
              <w:rPr>
                <w:rFonts w:ascii="Calibri" w:cs="Calibri" w:eastAsia="Calibri" w:hAnsi="Calibri"/>
                <w:color w:val="1B1E23"/>
                <w:sz w:val="20"/>
                <w:szCs w:val="20"/>
              </w:rPr>
              <w:t xml:space="preserve">The equity grant is effected through a Shareholders’ Agreement / share-subscription (or ESOP) documented separately; the build engagement is a Master Services Agreement. Both require stamping/registration as advised by counsel.</w:t>
            </w:r>
          </w:p>
        </w:tc>
      </w:tr>
    </w:tbl>
    <w:p>
      <w:pPr>
        <w:pStyle w:val="Heading1"/>
        <w:spacing w:after="120" w:before="260"/>
      </w:pPr>
      <w:r>
        <w:rPr>
          <w:rFonts w:ascii="Calibri" w:cs="Calibri" w:eastAsia="Calibri" w:hAnsi="Calibri"/>
          <w:b/>
          <w:bCs/>
          <w:color w:val="3770BF"/>
          <w:sz w:val="28"/>
          <w:szCs w:val="28"/>
        </w:rPr>
        <w:t xml:space="preserve">12. Signatures</w:t>
      </w:r>
    </w:p>
    <w:p>
      <w:pPr>
        <w:spacing w:after="120" w:before="0" w:line="276"/>
      </w:pPr>
      <w:r>
        <w:rPr>
          <w:rFonts w:ascii="Calibri" w:cs="Calibri" w:eastAsia="Calibri" w:hAnsi="Calibri"/>
          <w:color w:val="1B1E23"/>
          <w:sz w:val="21"/>
          <w:szCs w:val="21"/>
        </w:rPr>
        <w:t xml:space="preserve">Agreed as an accurate record of the terms to be documented in definitive agreements:</w:t>
      </w:r>
    </w:p>
    <w:p>
      <w:pPr>
        <w:spacing w:after="200"/>
      </w:pPr>
    </w:p>
    <w:tbl>
      <w:tblPr>
        <w:tblW w:type="dxa" w:w="9000"/>
        <w:tblBorders>
          <w:top w:val="single" w:color="DDE3EE" w:sz="4"/>
          <w:left w:val="single" w:color="DDE3EE" w:sz="4"/>
          <w:bottom w:val="single" w:color="DDE3EE" w:sz="4"/>
          <w:right w:val="single" w:color="DDE3EE" w:sz="4"/>
          <w:insideH w:val="single" w:color="DDE3EE" w:sz="4"/>
          <w:insideV w:val="single" w:color="DDE3EE" w:sz="4"/>
        </w:tblBorders>
      </w:tblPr>
      <w:tblGrid>
        <w:gridCol w:w="4500"/>
        <w:gridCol w:w="4500"/>
      </w:tblGrid>
      <w:tr>
        <w:tc>
          <w:tcPr>
            <w:tcW w:type="dxa" w:w="4500"/>
            <w:tcMar>
              <w:top w:type="dxa" w:w="60"/>
              <w:left w:type="dxa" w:w="90"/>
              <w:bottom w:type="dxa" w:w="60"/>
              <w:right w:type="dxa" w:w="90"/>
            </w:tcMar>
            <w:vAlign w:val="center"/>
          </w:tcPr>
          <w:p>
            <w:pPr>
              <w:spacing w:after="0" w:before="0" w:line="276"/>
            </w:pPr>
            <w:r>
              <w:rPr>
                <w:rFonts w:ascii="Calibri" w:cs="Calibri" w:eastAsia="Calibri" w:hAnsi="Calibri"/>
                <w:color w:val="1B1E23"/>
                <w:sz w:val="21"/>
                <w:szCs w:val="21"/>
              </w:rPr>
              <w:t xml:space="preserve">For PropWeb</w:t>
            </w:r>
          </w:p>
          <w:p>
            <w:pPr>
              <w:spacing w:after="260"/>
            </w:pPr>
          </w:p>
          <w:p>
            <w:pPr>
              <w:spacing w:after="0" w:before="0" w:line="276"/>
            </w:pPr>
            <w:r>
              <w:rPr>
                <w:rFonts w:ascii="Calibri" w:cs="Calibri" w:eastAsia="Calibri" w:hAnsi="Calibri"/>
                <w:color w:val="1B1E23"/>
                <w:sz w:val="21"/>
                <w:szCs w:val="21"/>
              </w:rPr>
              <w:t xml:space="preserve">_______________________</w:t>
            </w:r>
          </w:p>
          <w:p>
            <w:pPr>
              <w:spacing w:after="0" w:before="0" w:line="276"/>
            </w:pPr>
            <w:r>
              <w:rPr>
                <w:rFonts w:ascii="Calibri" w:cs="Calibri" w:eastAsia="Calibri" w:hAnsi="Calibri"/>
                <w:color w:val="5B6470"/>
                <w:sz w:val="21"/>
                <w:szCs w:val="21"/>
              </w:rPr>
              <w:t xml:space="preserve">[CEO-1 name], Co-founder &amp; CEO</w:t>
            </w:r>
          </w:p>
          <w:p>
            <w:pPr>
              <w:spacing w:after="0" w:before="0" w:line="276"/>
            </w:pPr>
            <w:r>
              <w:rPr>
                <w:rFonts w:ascii="Calibri" w:cs="Calibri" w:eastAsia="Calibri" w:hAnsi="Calibri"/>
                <w:color w:val="5B6470"/>
                <w:sz w:val="21"/>
                <w:szCs w:val="21"/>
              </w:rPr>
              <w:t xml:space="preserve">Date: ____________</w:t>
            </w:r>
          </w:p>
        </w:tc>
        <w:tc>
          <w:tcPr>
            <w:tcW w:type="dxa" w:w="4500"/>
            <w:tcMar>
              <w:top w:type="dxa" w:w="60"/>
              <w:left w:type="dxa" w:w="90"/>
              <w:bottom w:type="dxa" w:w="60"/>
              <w:right w:type="dxa" w:w="90"/>
            </w:tcMar>
            <w:vAlign w:val="center"/>
          </w:tcPr>
          <w:p>
            <w:pPr>
              <w:spacing w:after="0" w:before="0" w:line="276"/>
            </w:pPr>
            <w:r>
              <w:rPr>
                <w:rFonts w:ascii="Calibri" w:cs="Calibri" w:eastAsia="Calibri" w:hAnsi="Calibri"/>
                <w:color w:val="1B1E23"/>
                <w:sz w:val="21"/>
                <w:szCs w:val="21"/>
              </w:rPr>
              <w:t xml:space="preserve">For Trinetry Private Limited</w:t>
            </w:r>
          </w:p>
          <w:p>
            <w:pPr>
              <w:spacing w:after="260"/>
            </w:pPr>
          </w:p>
          <w:p>
            <w:pPr>
              <w:spacing w:after="0" w:before="0" w:line="276"/>
            </w:pPr>
            <w:r>
              <w:rPr>
                <w:rFonts w:ascii="Calibri" w:cs="Calibri" w:eastAsia="Calibri" w:hAnsi="Calibri"/>
                <w:color w:val="1B1E23"/>
                <w:sz w:val="21"/>
                <w:szCs w:val="21"/>
              </w:rPr>
              <w:t xml:space="preserve">_______________________</w:t>
            </w:r>
          </w:p>
          <w:p>
            <w:pPr>
              <w:spacing w:after="0" w:before="0" w:line="276"/>
            </w:pPr>
            <w:r>
              <w:rPr>
                <w:rFonts w:ascii="Calibri" w:cs="Calibri" w:eastAsia="Calibri" w:hAnsi="Calibri"/>
                <w:color w:val="5B6470"/>
                <w:sz w:val="21"/>
                <w:szCs w:val="21"/>
              </w:rPr>
              <w:t xml:space="preserve">Yogesh, Director</w:t>
            </w:r>
          </w:p>
          <w:p>
            <w:pPr>
              <w:spacing w:after="0" w:before="0" w:line="276"/>
            </w:pPr>
            <w:r>
              <w:rPr>
                <w:rFonts w:ascii="Calibri" w:cs="Calibri" w:eastAsia="Calibri" w:hAnsi="Calibri"/>
                <w:color w:val="5B6470"/>
                <w:sz w:val="21"/>
                <w:szCs w:val="21"/>
              </w:rPr>
              <w:t xml:space="preserve">Date: ____________</w:t>
            </w:r>
          </w:p>
        </w:tc>
      </w:tr>
      <w:tr>
        <w:tc>
          <w:tcPr>
            <w:tcW w:type="dxa" w:w="4500"/>
            <w:tcMar>
              <w:top w:type="dxa" w:w="60"/>
              <w:left w:type="dxa" w:w="90"/>
              <w:bottom w:type="dxa" w:w="60"/>
              <w:right w:type="dxa" w:w="90"/>
            </w:tcMar>
            <w:vAlign w:val="center"/>
          </w:tcPr>
          <w:p>
            <w:pPr>
              <w:spacing w:after="160"/>
            </w:pPr>
          </w:p>
          <w:p>
            <w:pPr>
              <w:spacing w:after="0" w:before="0" w:line="276"/>
            </w:pPr>
            <w:r>
              <w:rPr>
                <w:rFonts w:ascii="Calibri" w:cs="Calibri" w:eastAsia="Calibri" w:hAnsi="Calibri"/>
                <w:color w:val="1B1E23"/>
                <w:sz w:val="21"/>
                <w:szCs w:val="21"/>
              </w:rPr>
              <w:t xml:space="preserve">_______________________</w:t>
            </w:r>
          </w:p>
          <w:p>
            <w:pPr>
              <w:spacing w:after="0" w:before="0" w:line="276"/>
            </w:pPr>
            <w:r>
              <w:rPr>
                <w:rFonts w:ascii="Calibri" w:cs="Calibri" w:eastAsia="Calibri" w:hAnsi="Calibri"/>
                <w:color w:val="5B6470"/>
                <w:sz w:val="21"/>
                <w:szCs w:val="21"/>
              </w:rPr>
              <w:t xml:space="preserve">[CEO-2 name], Co-founder &amp; CEO</w:t>
            </w:r>
          </w:p>
          <w:p>
            <w:pPr>
              <w:spacing w:after="0" w:before="0" w:line="276"/>
            </w:pPr>
            <w:r>
              <w:rPr>
                <w:rFonts w:ascii="Calibri" w:cs="Calibri" w:eastAsia="Calibri" w:hAnsi="Calibri"/>
                <w:color w:val="5B6470"/>
                <w:sz w:val="21"/>
                <w:szCs w:val="21"/>
              </w:rPr>
              <w:t xml:space="preserve">Date: ____________</w:t>
            </w:r>
          </w:p>
        </w:tc>
        <w:tc>
          <w:tcPr>
            <w:tcW w:type="dxa" w:w="4500"/>
            <w:tcMar>
              <w:top w:type="dxa" w:w="60"/>
              <w:left w:type="dxa" w:w="90"/>
              <w:bottom w:type="dxa" w:w="60"/>
              <w:right w:type="dxa" w:w="90"/>
            </w:tcMar>
            <w:vAlign w:val="center"/>
          </w:tcPr>
          <w:p>
            <w:pPr>
              <w:spacing w:after="160"/>
            </w:pPr>
          </w:p>
          <w:p>
            <w:pPr>
              <w:spacing w:after="0" w:before="0" w:line="276"/>
            </w:pPr>
            <w:r>
              <w:rPr>
                <w:rFonts w:ascii="Calibri" w:cs="Calibri" w:eastAsia="Calibri" w:hAnsi="Calibri"/>
                <w:color w:val="1B1E23"/>
                <w:sz w:val="21"/>
                <w:szCs w:val="21"/>
              </w:rPr>
              <w:t xml:space="preserve">_______________________</w:t>
            </w:r>
          </w:p>
          <w:p>
            <w:pPr>
              <w:spacing w:after="0" w:before="0" w:line="276"/>
            </w:pPr>
            <w:r>
              <w:rPr>
                <w:rFonts w:ascii="Calibri" w:cs="Calibri" w:eastAsia="Calibri" w:hAnsi="Calibri"/>
                <w:color w:val="5B6470"/>
                <w:sz w:val="21"/>
                <w:szCs w:val="21"/>
              </w:rPr>
              <w:t xml:space="preserve">Yogesh (personally, as CTO + CPO)</w:t>
            </w:r>
          </w:p>
          <w:p>
            <w:pPr>
              <w:spacing w:after="0" w:before="0" w:line="276"/>
            </w:pPr>
            <w:r>
              <w:rPr>
                <w:rFonts w:ascii="Calibri" w:cs="Calibri" w:eastAsia="Calibri" w:hAnsi="Calibri"/>
                <w:color w:val="5B6470"/>
                <w:sz w:val="21"/>
                <w:szCs w:val="21"/>
              </w:rPr>
              <w:t xml:space="preserve">Date: ____________</w:t>
            </w:r>
          </w:p>
        </w:tc>
      </w:tr>
    </w:tbl>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E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PropWeb × Trinetry — Term Sheet</dc:title>
  <dc:creator>PropWeb</dc:creator>
  <cp:lastModifiedBy>Un-named</cp:lastModifiedBy>
  <cp:revision>1</cp:revision>
  <dcterms:created xsi:type="dcterms:W3CDTF">2026-07-20T07:03:30.226Z</dcterms:created>
  <dcterms:modified xsi:type="dcterms:W3CDTF">2026-07-20T07:03:30.226Z</dcterms:modified>
</cp:coreProperties>
</file>

<file path=docProps/custom.xml><?xml version="1.0" encoding="utf-8"?>
<Properties xmlns="http://schemas.openxmlformats.org/officeDocument/2006/custom-properties" xmlns:vt="http://schemas.openxmlformats.org/officeDocument/2006/docPropsVTypes"/>
</file>