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770BF"/>
          <w:sz w:val="30"/>
          <w:szCs w:val="30"/>
        </w:rPr>
        <w:t xml:space="preserve">PROPWEB</w:t>
      </w:r>
    </w:p>
    <w:p>
      <w:pPr>
        <w:pBdr>
          <w:bottom w:val="single" w:color="C3EA4F" w:sz="14"/>
        </w:pBdr>
        <w:spacing w:after="200"/>
      </w:pPr>
      <w:r>
        <w:rPr>
          <w:rFonts w:ascii="Calibri" w:cs="Calibri" w:eastAsia="Calibri" w:hAnsi="Calibri"/>
          <w:b/>
          <w:bCs/>
          <w:color w:val="1B1E23"/>
          <w:sz w:val="40"/>
          <w:szCs w:val="40"/>
        </w:rPr>
        <w:t xml:space="preserve">Master Services Agreement</w:t>
      </w:r>
    </w:p>
    <w:p>
      <w:pPr>
        <w:spacing w:after="60"/>
      </w:pPr>
      <w:r>
        <w:rPr>
          <w:rFonts w:ascii="Calibri" w:cs="Calibri" w:eastAsia="Calibri" w:hAnsi="Calibri"/>
          <w:i/>
          <w:iCs/>
          <w:color w:val="5B6470"/>
          <w:sz w:val="22"/>
          <w:szCs w:val="22"/>
        </w:rPr>
        <w:t xml:space="preserve">PropWeb (Client)  ·  Trinetry Private Limited (Developer)  ·  PropWeb MVP build</w:t>
      </w:r>
    </w:p>
    <w:p>
      <w:pPr>
        <w:pBdr>
          <w:top w:val="single" w:color="DDE3EE" w:sz="4"/>
          <w:bottom w:val="single" w:color="DDE3EE" w:sz="4"/>
          <w:left w:val="single" w:color="DDE3EE" w:sz="4"/>
          <w:right w:val="single" w:color="DDE3EE" w:sz="4"/>
        </w:pBdr>
        <w:spacing w:after="160" w:before="0" w:line="276"/>
      </w:pPr>
      <w:r>
        <w:rPr>
          <w:rFonts w:ascii="Calibri" w:cs="Calibri" w:eastAsia="Calibri" w:hAnsi="Calibri"/>
          <w:b/>
          <w:bCs/>
          <w:color w:val="B00020"/>
          <w:sz w:val="18"/>
          <w:szCs w:val="18"/>
        </w:rPr>
        <w:t xml:space="preserve">DRAFT FOR NEGOTIATION — CONFIDENTIAL. </w:t>
      </w:r>
      <w:r>
        <w:rPr>
          <w:rFonts w:ascii="Calibri" w:cs="Calibri" w:eastAsia="Calibri" w:hAnsi="Calibri"/>
          <w:i/>
          <w:iCs/>
          <w:color w:val="5B6470"/>
          <w:sz w:val="18"/>
          <w:szCs w:val="18"/>
        </w:rPr>
        <w:t xml:space="preserve">Prepared as a working draft to open discussions between the parties. Not legal, tax, or financial advice. Commercial figures (including equity) are opening positions and are subject to change. Every party should obtain independent legal and CA/tax review before execution. Bracketed items [like this] must be completed before signing.</w:t>
      </w:r>
    </w:p>
    <w:p>
      <w:pPr>
        <w:spacing w:after="120" w:before="0" w:line="276"/>
      </w:pPr>
      <w:r>
        <w:rPr>
          <w:rFonts w:ascii="Calibri" w:cs="Calibri" w:eastAsia="Calibri" w:hAnsi="Calibri"/>
          <w:color w:val="1B1E23"/>
          <w:sz w:val="20"/>
          <w:szCs w:val="20"/>
        </w:rPr>
        <w:t xml:space="preserve">This Master Services Agreement (the “Agreement”) is made on [date] at [place] between:</w:t>
      </w:r>
    </w:p>
    <w:p>
      <w:pPr>
        <w:pStyle w:val="ListParagraph"/>
        <w:numPr>
          <w:ilvl w:val="0"/>
          <w:numId w:val="1"/>
        </w:numPr>
        <w:spacing w:after="60" w:line="276"/>
      </w:pPr>
      <w:r>
        <w:rPr>
          <w:rFonts w:ascii="Calibri" w:cs="Calibri" w:eastAsia="Calibri" w:hAnsi="Calibri"/>
          <w:color w:val="1B1E23"/>
          <w:sz w:val="20"/>
          <w:szCs w:val="20"/>
        </w:rPr>
        <w:t xml:space="preserve">[PropWeb legal name], a company incorporated under the Companies Act, 2013, CIN [•], registered office [•] (the “Client” / “PropWeb”); and</w:t>
      </w:r>
    </w:p>
    <w:p>
      <w:pPr>
        <w:pStyle w:val="ListParagraph"/>
        <w:numPr>
          <w:ilvl w:val="0"/>
          <w:numId w:val="1"/>
        </w:numPr>
        <w:spacing w:after="60" w:line="276"/>
      </w:pPr>
      <w:r>
        <w:rPr>
          <w:rFonts w:ascii="Calibri" w:cs="Calibri" w:eastAsia="Calibri" w:hAnsi="Calibri"/>
          <w:color w:val="1B1E23"/>
          <w:sz w:val="20"/>
          <w:szCs w:val="20"/>
        </w:rPr>
        <w:t xml:space="preserve">Trinetry Private Limited, a company incorporated under the Companies Act, 2013, CIN [•], registered office [•] (the “Developer” / “Trinetry”).</w:t>
      </w:r>
    </w:p>
    <w:p>
      <w:pPr>
        <w:spacing w:after="120" w:before="0" w:line="276"/>
      </w:pPr>
      <w:r>
        <w:rPr>
          <w:rFonts w:ascii="Calibri" w:cs="Calibri" w:eastAsia="Calibri" w:hAnsi="Calibri"/>
          <w:i/>
          <w:iCs/>
          <w:color w:val="5B6470"/>
          <w:sz w:val="20"/>
          <w:szCs w:val="20"/>
        </w:rPr>
        <w:t xml:space="preserve">The Client and the Developer are each a “Party” and together the “Parties.”</w:t>
      </w:r>
    </w:p>
    <w:p>
      <w:pPr>
        <w:spacing w:after="80" w:before="220"/>
      </w:pPr>
      <w:r>
        <w:rPr>
          <w:rFonts w:ascii="Calibri" w:cs="Calibri" w:eastAsia="Calibri" w:hAnsi="Calibri"/>
          <w:b/>
          <w:bCs/>
          <w:color w:val="3770BF"/>
          <w:sz w:val="23"/>
          <w:szCs w:val="23"/>
        </w:rPr>
        <w:t xml:space="preserve">1.  Definitions</w:t>
      </w:r>
    </w:p>
    <w:p>
      <w:pPr>
        <w:pStyle w:val="ListParagraph"/>
        <w:numPr>
          <w:ilvl w:val="0"/>
          <w:numId w:val="1"/>
        </w:numPr>
        <w:spacing w:after="60" w:line="276"/>
      </w:pPr>
      <w:r>
        <w:rPr>
          <w:rFonts w:ascii="Calibri" w:cs="Calibri" w:eastAsia="Calibri" w:hAnsi="Calibri"/>
          <w:color w:val="1B1E23"/>
          <w:sz w:val="20"/>
          <w:szCs w:val="20"/>
        </w:rPr>
        <w:t xml:space="preserve">“Services” means the design, development, testing, deployment and launch of the PropWeb MVP as described in Schedule A (Scope of Work).</w:t>
      </w:r>
    </w:p>
    <w:p>
      <w:pPr>
        <w:pStyle w:val="ListParagraph"/>
        <w:numPr>
          <w:ilvl w:val="0"/>
          <w:numId w:val="1"/>
        </w:numPr>
        <w:spacing w:after="60" w:line="276"/>
      </w:pPr>
      <w:r>
        <w:rPr>
          <w:rFonts w:ascii="Calibri" w:cs="Calibri" w:eastAsia="Calibri" w:hAnsi="Calibri"/>
          <w:color w:val="1B1E23"/>
          <w:sz w:val="20"/>
          <w:szCs w:val="20"/>
        </w:rPr>
        <w:t xml:space="preserve">“Deliverables” means all software, source code, designs, documentation and other work product produced under this Agreement.</w:t>
      </w:r>
    </w:p>
    <w:p>
      <w:pPr>
        <w:pStyle w:val="ListParagraph"/>
        <w:numPr>
          <w:ilvl w:val="0"/>
          <w:numId w:val="1"/>
        </w:numPr>
        <w:spacing w:after="60" w:line="276"/>
      </w:pPr>
      <w:r>
        <w:rPr>
          <w:rFonts w:ascii="Calibri" w:cs="Calibri" w:eastAsia="Calibri" w:hAnsi="Calibri"/>
          <w:color w:val="1B1E23"/>
          <w:sz w:val="20"/>
          <w:szCs w:val="20"/>
        </w:rPr>
        <w:t xml:space="preserve">“Milestone” means a delivery stage set out in Schedule B, each with an associated payment.</w:t>
      </w:r>
    </w:p>
    <w:p>
      <w:pPr>
        <w:pStyle w:val="ListParagraph"/>
        <w:numPr>
          <w:ilvl w:val="0"/>
          <w:numId w:val="1"/>
        </w:numPr>
        <w:spacing w:after="60" w:line="276"/>
      </w:pPr>
      <w:r>
        <w:rPr>
          <w:rFonts w:ascii="Calibri" w:cs="Calibri" w:eastAsia="Calibri" w:hAnsi="Calibri"/>
          <w:color w:val="1B1E23"/>
          <w:sz w:val="20"/>
          <w:szCs w:val="20"/>
        </w:rPr>
        <w:t xml:space="preserve">“Acceptance” means the Client’s written sign-off of a Milestone, deemed given if the Client does not raise a written, reasonable objection within seven (7) business days of delivery.</w:t>
      </w:r>
    </w:p>
    <w:p>
      <w:pPr>
        <w:pStyle w:val="ListParagraph"/>
        <w:numPr>
          <w:ilvl w:val="0"/>
          <w:numId w:val="1"/>
        </w:numPr>
        <w:spacing w:after="60" w:line="276"/>
      </w:pPr>
      <w:r>
        <w:rPr>
          <w:rFonts w:ascii="Calibri" w:cs="Calibri" w:eastAsia="Calibri" w:hAnsi="Calibri"/>
          <w:color w:val="1B1E23"/>
          <w:sz w:val="20"/>
          <w:szCs w:val="20"/>
        </w:rPr>
        <w:t xml:space="preserve">“Go-Live” means the PropWeb MVP running in production and available to real users in Bengaluru.</w:t>
      </w:r>
    </w:p>
    <w:p>
      <w:pPr>
        <w:spacing w:after="80" w:before="220"/>
      </w:pPr>
      <w:r>
        <w:rPr>
          <w:rFonts w:ascii="Calibri" w:cs="Calibri" w:eastAsia="Calibri" w:hAnsi="Calibri"/>
          <w:b/>
          <w:bCs/>
          <w:color w:val="3770BF"/>
          <w:sz w:val="23"/>
          <w:szCs w:val="23"/>
        </w:rPr>
        <w:t xml:space="preserve">2.  Scope of services</w:t>
      </w:r>
    </w:p>
    <w:p>
      <w:pPr>
        <w:spacing w:after="90" w:line="276"/>
      </w:pPr>
      <w:r>
        <w:rPr>
          <w:rFonts w:ascii="Calibri" w:cs="Calibri" w:eastAsia="Calibri" w:hAnsi="Calibri"/>
          <w:b/>
          <w:bCs/>
          <w:color w:val="1B1E23"/>
          <w:sz w:val="20"/>
          <w:szCs w:val="20"/>
        </w:rPr>
        <w:t xml:space="preserve">2.1  </w:t>
      </w:r>
      <w:r>
        <w:rPr>
          <w:rFonts w:ascii="Calibri" w:cs="Calibri" w:eastAsia="Calibri" w:hAnsi="Calibri"/>
          <w:color w:val="1B1E23"/>
          <w:sz w:val="20"/>
          <w:szCs w:val="20"/>
        </w:rPr>
        <w:t xml:space="preserve">The Developer will provide the Services described in Schedule A: a reduced-scope but fully functional PropWeb MVP comprising the P0 launch feature set on a real production backend, for one city (Bengaluru), rentals only, web-first.</w:t>
      </w:r>
    </w:p>
    <w:p>
      <w:pPr>
        <w:spacing w:after="90" w:line="276"/>
      </w:pPr>
      <w:r>
        <w:rPr>
          <w:rFonts w:ascii="Calibri" w:cs="Calibri" w:eastAsia="Calibri" w:hAnsi="Calibri"/>
          <w:b/>
          <w:bCs/>
          <w:color w:val="1B1E23"/>
          <w:sz w:val="20"/>
          <w:szCs w:val="20"/>
        </w:rPr>
        <w:t xml:space="preserve">2.2  </w:t>
      </w:r>
      <w:r>
        <w:rPr>
          <w:rFonts w:ascii="Calibri" w:cs="Calibri" w:eastAsia="Calibri" w:hAnsi="Calibri"/>
          <w:color w:val="1B1E23"/>
          <w:sz w:val="20"/>
          <w:szCs w:val="20"/>
        </w:rPr>
        <w:t xml:space="preserve">Anything listed as out of scope in Schedule A is excluded. Work not described in Schedule A is a change under clause 12.</w:t>
      </w:r>
    </w:p>
    <w:p>
      <w:pPr>
        <w:spacing w:after="90" w:line="276"/>
      </w:pPr>
      <w:r>
        <w:rPr>
          <w:rFonts w:ascii="Calibri" w:cs="Calibri" w:eastAsia="Calibri" w:hAnsi="Calibri"/>
          <w:b/>
          <w:bCs/>
          <w:color w:val="1B1E23"/>
          <w:sz w:val="20"/>
          <w:szCs w:val="20"/>
        </w:rPr>
        <w:t xml:space="preserve">2.3  </w:t>
      </w:r>
      <w:r>
        <w:rPr>
          <w:rFonts w:ascii="Calibri" w:cs="Calibri" w:eastAsia="Calibri" w:hAnsi="Calibri"/>
          <w:color w:val="1B1E23"/>
          <w:sz w:val="20"/>
          <w:szCs w:val="20"/>
        </w:rPr>
        <w:t xml:space="preserve">The Developer determines its own team composition and working methods, provided the Deliverables, Milestones and timeline in Schedule B are met.</w:t>
      </w:r>
    </w:p>
    <w:p>
      <w:pPr>
        <w:spacing w:after="80" w:before="220"/>
      </w:pPr>
      <w:r>
        <w:rPr>
          <w:rFonts w:ascii="Calibri" w:cs="Calibri" w:eastAsia="Calibri" w:hAnsi="Calibri"/>
          <w:b/>
          <w:bCs/>
          <w:color w:val="3770BF"/>
          <w:sz w:val="23"/>
          <w:szCs w:val="23"/>
        </w:rPr>
        <w:t xml:space="preserve">3.  Team &amp; place of performance</w:t>
      </w:r>
    </w:p>
    <w:p>
      <w:pPr>
        <w:spacing w:after="90" w:line="276"/>
      </w:pPr>
      <w:r>
        <w:rPr>
          <w:rFonts w:ascii="Calibri" w:cs="Calibri" w:eastAsia="Calibri" w:hAnsi="Calibri"/>
          <w:b/>
          <w:bCs/>
          <w:color w:val="1B1E23"/>
          <w:sz w:val="20"/>
          <w:szCs w:val="20"/>
        </w:rPr>
        <w:t xml:space="preserve">3.1  </w:t>
      </w:r>
      <w:r>
        <w:rPr>
          <w:rFonts w:ascii="Calibri" w:cs="Calibri" w:eastAsia="Calibri" w:hAnsi="Calibri"/>
          <w:color w:val="1B1E23"/>
          <w:sz w:val="20"/>
          <w:szCs w:val="20"/>
        </w:rPr>
        <w:t xml:space="preserve">The Developer will deploy a dedicated delivery pod. One engineer will be embedded on-site at the Client’s Mumbai (Bombay) office for coordination, integration and knowledge transfer; the remaining team will work from the Developer’s office.</w:t>
      </w:r>
    </w:p>
    <w:p>
      <w:pPr>
        <w:spacing w:after="90" w:line="276"/>
      </w:pPr>
      <w:r>
        <w:rPr>
          <w:rFonts w:ascii="Calibri" w:cs="Calibri" w:eastAsia="Calibri" w:hAnsi="Calibri"/>
          <w:b/>
          <w:bCs/>
          <w:color w:val="1B1E23"/>
          <w:sz w:val="20"/>
          <w:szCs w:val="20"/>
        </w:rPr>
        <w:t xml:space="preserve">3.2  </w:t>
      </w:r>
      <w:r>
        <w:rPr>
          <w:rFonts w:ascii="Calibri" w:cs="Calibri" w:eastAsia="Calibri" w:hAnsi="Calibri"/>
          <w:color w:val="1B1E23"/>
          <w:sz w:val="20"/>
          <w:szCs w:val="20"/>
        </w:rPr>
        <w:t xml:space="preserve">The Client will provide reasonable workspace, access and facilities for the on-site engineer, and timely access to all systems, third-party accounts (cloud, Razorpay, Exotel, KYC vendor), content and decisions the Developer needs.</w:t>
      </w:r>
    </w:p>
    <w:p>
      <w:pPr>
        <w:spacing w:after="80" w:before="220"/>
      </w:pPr>
      <w:r>
        <w:rPr>
          <w:rFonts w:ascii="Calibri" w:cs="Calibri" w:eastAsia="Calibri" w:hAnsi="Calibri"/>
          <w:b/>
          <w:bCs/>
          <w:color w:val="3770BF"/>
          <w:sz w:val="23"/>
          <w:szCs w:val="23"/>
        </w:rPr>
        <w:t xml:space="preserve">4.  Fees &amp; payment</w:t>
      </w:r>
    </w:p>
    <w:p>
      <w:pPr>
        <w:spacing w:after="90" w:line="276"/>
      </w:pPr>
      <w:r>
        <w:rPr>
          <w:rFonts w:ascii="Calibri" w:cs="Calibri" w:eastAsia="Calibri" w:hAnsi="Calibri"/>
          <w:b/>
          <w:bCs/>
          <w:color w:val="1B1E23"/>
          <w:sz w:val="20"/>
          <w:szCs w:val="20"/>
        </w:rPr>
        <w:t xml:space="preserve">4.1  </w:t>
      </w:r>
      <w:r>
        <w:rPr>
          <w:rFonts w:ascii="Calibri" w:cs="Calibri" w:eastAsia="Calibri" w:hAnsi="Calibri"/>
          <w:color w:val="1B1E23"/>
          <w:sz w:val="20"/>
          <w:szCs w:val="20"/>
        </w:rPr>
        <w:t xml:space="preserve">The total fixed fee for the Services is ₹50,00,000 (Rupees Fifty Lakh only), exclusive of GST, which the Client pays additionally.</w:t>
      </w:r>
    </w:p>
    <w:p>
      <w:pPr>
        <w:spacing w:after="90" w:line="276"/>
      </w:pPr>
      <w:r>
        <w:rPr>
          <w:rFonts w:ascii="Calibri" w:cs="Calibri" w:eastAsia="Calibri" w:hAnsi="Calibri"/>
          <w:b/>
          <w:bCs/>
          <w:color w:val="1B1E23"/>
          <w:sz w:val="20"/>
          <w:szCs w:val="20"/>
        </w:rPr>
        <w:t xml:space="preserve">4.2  </w:t>
      </w:r>
      <w:r>
        <w:rPr>
          <w:rFonts w:ascii="Calibri" w:cs="Calibri" w:eastAsia="Calibri" w:hAnsi="Calibri"/>
          <w:color w:val="1B1E23"/>
          <w:sz w:val="20"/>
          <w:szCs w:val="20"/>
        </w:rPr>
        <w:t xml:space="preserve">The fee is payable against Milestones per Schedule B. Each Milestone payment is due within [7] business days of Acceptance (the mobilization advance is due on signing).</w:t>
      </w:r>
    </w:p>
    <w:p>
      <w:pPr>
        <w:spacing w:after="90" w:line="276"/>
      </w:pPr>
      <w:r>
        <w:rPr>
          <w:rFonts w:ascii="Calibri" w:cs="Calibri" w:eastAsia="Calibri" w:hAnsi="Calibri"/>
          <w:b/>
          <w:bCs/>
          <w:color w:val="1B1E23"/>
          <w:sz w:val="20"/>
          <w:szCs w:val="20"/>
        </w:rPr>
        <w:t xml:space="preserve">4.3  </w:t>
      </w:r>
      <w:r>
        <w:rPr>
          <w:rFonts w:ascii="Calibri" w:cs="Calibri" w:eastAsia="Calibri" w:hAnsi="Calibri"/>
          <w:color w:val="1B1E23"/>
          <w:sz w:val="20"/>
          <w:szCs w:val="20"/>
        </w:rPr>
        <w:t xml:space="preserve">The Client may deduct TDS as required by the Income-tax Act, 1961 and will provide TDS certificates. All bank charges are borne by the paying Party.</w:t>
      </w:r>
    </w:p>
    <w:p>
      <w:pPr>
        <w:spacing w:after="90" w:line="276"/>
      </w:pPr>
      <w:r>
        <w:rPr>
          <w:rFonts w:ascii="Calibri" w:cs="Calibri" w:eastAsia="Calibri" w:hAnsi="Calibri"/>
          <w:b/>
          <w:bCs/>
          <w:color w:val="1B1E23"/>
          <w:sz w:val="20"/>
          <w:szCs w:val="20"/>
        </w:rPr>
        <w:t xml:space="preserve">4.4  </w:t>
      </w:r>
      <w:r>
        <w:rPr>
          <w:rFonts w:ascii="Calibri" w:cs="Calibri" w:eastAsia="Calibri" w:hAnsi="Calibri"/>
          <w:color w:val="1B1E23"/>
          <w:sz w:val="20"/>
          <w:szCs w:val="20"/>
        </w:rPr>
        <w:t xml:space="preserve">Undisputed overdue amounts carry interest at [1.5]% per month. The Developer may pause work on undisputed non-payment after [10] business days’ written notice.</w:t>
      </w:r>
    </w:p>
    <w:p>
      <w:pPr>
        <w:spacing w:after="80" w:before="220"/>
      </w:pPr>
      <w:r>
        <w:rPr>
          <w:rFonts w:ascii="Calibri" w:cs="Calibri" w:eastAsia="Calibri" w:hAnsi="Calibri"/>
          <w:b/>
          <w:bCs/>
          <w:color w:val="3770BF"/>
          <w:sz w:val="23"/>
          <w:szCs w:val="23"/>
        </w:rPr>
        <w:t xml:space="preserve">5.  Timeline</w:t>
      </w:r>
    </w:p>
    <w:p>
      <w:pPr>
        <w:spacing w:after="90" w:line="276"/>
      </w:pPr>
      <w:r>
        <w:rPr>
          <w:rFonts w:ascii="Calibri" w:cs="Calibri" w:eastAsia="Calibri" w:hAnsi="Calibri"/>
          <w:b/>
          <w:bCs/>
          <w:color w:val="1B1E23"/>
          <w:sz w:val="20"/>
          <w:szCs w:val="20"/>
        </w:rPr>
        <w:t xml:space="preserve">5.1  </w:t>
      </w:r>
      <w:r>
        <w:rPr>
          <w:rFonts w:ascii="Calibri" w:cs="Calibri" w:eastAsia="Calibri" w:hAnsi="Calibri"/>
          <w:color w:val="1B1E23"/>
          <w:sz w:val="20"/>
          <w:szCs w:val="20"/>
        </w:rPr>
        <w:t xml:space="preserve">The indicative timeline is ~18 weeks to Bengaluru Go-Live, per Schedule B. Time runs from receipt of the mobilization advance and the Client’s provision of the access, accounts and decisions required to start.</w:t>
      </w:r>
    </w:p>
    <w:p>
      <w:pPr>
        <w:spacing w:after="90" w:line="276"/>
      </w:pPr>
      <w:r>
        <w:rPr>
          <w:rFonts w:ascii="Calibri" w:cs="Calibri" w:eastAsia="Calibri" w:hAnsi="Calibri"/>
          <w:b/>
          <w:bCs/>
          <w:color w:val="1B1E23"/>
          <w:sz w:val="20"/>
          <w:szCs w:val="20"/>
        </w:rPr>
        <w:t xml:space="preserve">5.2  </w:t>
      </w:r>
      <w:r>
        <w:rPr>
          <w:rFonts w:ascii="Calibri" w:cs="Calibri" w:eastAsia="Calibri" w:hAnsi="Calibri"/>
          <w:color w:val="1B1E23"/>
          <w:sz w:val="20"/>
          <w:szCs w:val="20"/>
        </w:rPr>
        <w:t xml:space="preserve">Delays caused by the Client, third-party vendors, or force majeure extend affected dates day-for-day.</w:t>
      </w:r>
    </w:p>
    <w:p>
      <w:pPr>
        <w:spacing w:after="80" w:before="220"/>
      </w:pPr>
      <w:r>
        <w:rPr>
          <w:rFonts w:ascii="Calibri" w:cs="Calibri" w:eastAsia="Calibri" w:hAnsi="Calibri"/>
          <w:b/>
          <w:bCs/>
          <w:color w:val="3770BF"/>
          <w:sz w:val="23"/>
          <w:szCs w:val="23"/>
        </w:rPr>
        <w:t xml:space="preserve">6.  Client responsibilities</w:t>
      </w:r>
    </w:p>
    <w:p>
      <w:pPr>
        <w:pStyle w:val="ListParagraph"/>
        <w:numPr>
          <w:ilvl w:val="0"/>
          <w:numId w:val="1"/>
        </w:numPr>
        <w:spacing w:after="60" w:line="276"/>
      </w:pPr>
      <w:r>
        <w:rPr>
          <w:rFonts w:ascii="Calibri" w:cs="Calibri" w:eastAsia="Calibri" w:hAnsi="Calibri"/>
          <w:color w:val="1B1E23"/>
          <w:sz w:val="20"/>
          <w:szCs w:val="20"/>
        </w:rPr>
        <w:t xml:space="preserve">Provide and pay for third-party services and accounts: cloud (AWS Mumbai), Razorpay, Exotel, KYC/PAN vendor, maps and domains.</w:t>
      </w:r>
    </w:p>
    <w:p>
      <w:pPr>
        <w:pStyle w:val="ListParagraph"/>
        <w:numPr>
          <w:ilvl w:val="0"/>
          <w:numId w:val="1"/>
        </w:numPr>
        <w:spacing w:after="60" w:line="276"/>
      </w:pPr>
      <w:r>
        <w:rPr>
          <w:rFonts w:ascii="Calibri" w:cs="Calibri" w:eastAsia="Calibri" w:hAnsi="Calibri"/>
          <w:color w:val="1B1E23"/>
          <w:sz w:val="20"/>
          <w:szCs w:val="20"/>
        </w:rPr>
        <w:t xml:space="preserve">Nominate an empowered single point of contact who can give decisions and sign-offs.</w:t>
      </w:r>
    </w:p>
    <w:p>
      <w:pPr>
        <w:pStyle w:val="ListParagraph"/>
        <w:numPr>
          <w:ilvl w:val="0"/>
          <w:numId w:val="1"/>
        </w:numPr>
        <w:spacing w:after="60" w:line="276"/>
      </w:pPr>
      <w:r>
        <w:rPr>
          <w:rFonts w:ascii="Calibri" w:cs="Calibri" w:eastAsia="Calibri" w:hAnsi="Calibri"/>
          <w:color w:val="1B1E23"/>
          <w:sz w:val="20"/>
          <w:szCs w:val="20"/>
        </w:rPr>
        <w:t xml:space="preserve">Provide content, brand assets, and any legal/compliance approvals (including for KYC processing) on time.</w:t>
      </w:r>
    </w:p>
    <w:p>
      <w:pPr>
        <w:pStyle w:val="ListParagraph"/>
        <w:numPr>
          <w:ilvl w:val="0"/>
          <w:numId w:val="1"/>
        </w:numPr>
        <w:spacing w:after="60" w:line="276"/>
      </w:pPr>
      <w:r>
        <w:rPr>
          <w:rFonts w:ascii="Calibri" w:cs="Calibri" w:eastAsia="Calibri" w:hAnsi="Calibri"/>
          <w:color w:val="1B1E23"/>
          <w:sz w:val="20"/>
          <w:szCs w:val="20"/>
        </w:rPr>
        <w:t xml:space="preserve">Own the legal and regulatory posture of the live product, including DPDP compliance and the lawful KYC route (Aadhaar offline XML / DigiLocker / licensed partner).</w:t>
      </w:r>
    </w:p>
    <w:p>
      <w:pPr>
        <w:spacing w:after="80" w:before="220"/>
      </w:pPr>
      <w:r>
        <w:rPr>
          <w:rFonts w:ascii="Calibri" w:cs="Calibri" w:eastAsia="Calibri" w:hAnsi="Calibri"/>
          <w:b/>
          <w:bCs/>
          <w:color w:val="3770BF"/>
          <w:sz w:val="23"/>
          <w:szCs w:val="23"/>
        </w:rPr>
        <w:t xml:space="preserve">7.  Acceptance &amp; warranty</w:t>
      </w:r>
    </w:p>
    <w:p>
      <w:pPr>
        <w:spacing w:after="90" w:line="276"/>
      </w:pPr>
      <w:r>
        <w:rPr>
          <w:rFonts w:ascii="Calibri" w:cs="Calibri" w:eastAsia="Calibri" w:hAnsi="Calibri"/>
          <w:b/>
          <w:bCs/>
          <w:color w:val="1B1E23"/>
          <w:sz w:val="20"/>
          <w:szCs w:val="20"/>
        </w:rPr>
        <w:t xml:space="preserve">7.1  </w:t>
      </w:r>
      <w:r>
        <w:rPr>
          <w:rFonts w:ascii="Calibri" w:cs="Calibri" w:eastAsia="Calibri" w:hAnsi="Calibri"/>
          <w:color w:val="1B1E23"/>
          <w:sz w:val="20"/>
          <w:szCs w:val="20"/>
        </w:rPr>
        <w:t xml:space="preserve">The Client will test each Milestone against Schedule A and either accept it or give specific written reasons for rejection within seven (7) business days; silence is deemed Acceptance.</w:t>
      </w:r>
    </w:p>
    <w:p>
      <w:pPr>
        <w:spacing w:after="90" w:line="276"/>
      </w:pPr>
      <w:r>
        <w:rPr>
          <w:rFonts w:ascii="Calibri" w:cs="Calibri" w:eastAsia="Calibri" w:hAnsi="Calibri"/>
          <w:b/>
          <w:bCs/>
          <w:color w:val="1B1E23"/>
          <w:sz w:val="20"/>
          <w:szCs w:val="20"/>
        </w:rPr>
        <w:t xml:space="preserve">7.2  </w:t>
      </w:r>
      <w:r>
        <w:rPr>
          <w:rFonts w:ascii="Calibri" w:cs="Calibri" w:eastAsia="Calibri" w:hAnsi="Calibri"/>
          <w:color w:val="1B1E23"/>
          <w:sz w:val="20"/>
          <w:szCs w:val="20"/>
        </w:rPr>
        <w:t xml:space="preserve">The Developer warrants the Deliverables will, for ninety (90) days after Go-Live, materially conform to Schedule A and be free of material defects, and will fix conforming defects reported in that period at no charge.</w:t>
      </w:r>
    </w:p>
    <w:p>
      <w:pPr>
        <w:spacing w:after="90" w:line="276"/>
      </w:pPr>
      <w:r>
        <w:rPr>
          <w:rFonts w:ascii="Calibri" w:cs="Calibri" w:eastAsia="Calibri" w:hAnsi="Calibri"/>
          <w:b/>
          <w:bCs/>
          <w:color w:val="1B1E23"/>
          <w:sz w:val="20"/>
          <w:szCs w:val="20"/>
        </w:rPr>
        <w:t xml:space="preserve">7.3  </w:t>
      </w:r>
      <w:r>
        <w:rPr>
          <w:rFonts w:ascii="Calibri" w:cs="Calibri" w:eastAsia="Calibri" w:hAnsi="Calibri"/>
          <w:color w:val="1B1E23"/>
          <w:sz w:val="20"/>
          <w:szCs w:val="20"/>
        </w:rPr>
        <w:t xml:space="preserve">The warranty excludes issues caused by Client changes, third-party outages, misuse, or work outside scope.</w:t>
      </w:r>
    </w:p>
    <w:p>
      <w:pPr>
        <w:spacing w:after="80" w:before="220"/>
      </w:pPr>
      <w:r>
        <w:rPr>
          <w:rFonts w:ascii="Calibri" w:cs="Calibri" w:eastAsia="Calibri" w:hAnsi="Calibri"/>
          <w:b/>
          <w:bCs/>
          <w:color w:val="3770BF"/>
          <w:sz w:val="23"/>
          <w:szCs w:val="23"/>
        </w:rPr>
        <w:t xml:space="preserve">8.  Intellectual property</w:t>
      </w:r>
    </w:p>
    <w:p>
      <w:pPr>
        <w:spacing w:after="90" w:line="276"/>
      </w:pPr>
      <w:r>
        <w:rPr>
          <w:rFonts w:ascii="Calibri" w:cs="Calibri" w:eastAsia="Calibri" w:hAnsi="Calibri"/>
          <w:b/>
          <w:bCs/>
          <w:color w:val="1B1E23"/>
          <w:sz w:val="20"/>
          <w:szCs w:val="20"/>
        </w:rPr>
        <w:t xml:space="preserve">8.1  </w:t>
      </w:r>
      <w:r>
        <w:rPr>
          <w:rFonts w:ascii="Calibri" w:cs="Calibri" w:eastAsia="Calibri" w:hAnsi="Calibri"/>
          <w:color w:val="1B1E23"/>
          <w:sz w:val="20"/>
          <w:szCs w:val="20"/>
        </w:rPr>
        <w:t xml:space="preserve">On full payment of the Milestone to which they relate, all Deliverables and their IP assign to the Client, who will own the PropWeb platform, code and designs.</w:t>
      </w:r>
    </w:p>
    <w:p>
      <w:pPr>
        <w:spacing w:after="90" w:line="276"/>
      </w:pPr>
      <w:r>
        <w:rPr>
          <w:rFonts w:ascii="Calibri" w:cs="Calibri" w:eastAsia="Calibri" w:hAnsi="Calibri"/>
          <w:b/>
          <w:bCs/>
          <w:color w:val="1B1E23"/>
          <w:sz w:val="20"/>
          <w:szCs w:val="20"/>
        </w:rPr>
        <w:t xml:space="preserve">8.2  </w:t>
      </w:r>
      <w:r>
        <w:rPr>
          <w:rFonts w:ascii="Calibri" w:cs="Calibri" w:eastAsia="Calibri" w:hAnsi="Calibri"/>
          <w:color w:val="1B1E23"/>
          <w:sz w:val="20"/>
          <w:szCs w:val="20"/>
        </w:rPr>
        <w:t xml:space="preserve">The Developer retains ownership of its pre-existing materials, tools, libraries and know-how (“Background IP”) and grants the Client a perpetual, worldwide, royalty-free licence to use Background IP embedded in the Deliverables to operate the platform.</w:t>
      </w:r>
    </w:p>
    <w:p>
      <w:pPr>
        <w:spacing w:after="90" w:line="276"/>
      </w:pPr>
      <w:r>
        <w:rPr>
          <w:rFonts w:ascii="Calibri" w:cs="Calibri" w:eastAsia="Calibri" w:hAnsi="Calibri"/>
          <w:b/>
          <w:bCs/>
          <w:color w:val="1B1E23"/>
          <w:sz w:val="20"/>
          <w:szCs w:val="20"/>
        </w:rPr>
        <w:t xml:space="preserve">8.3  </w:t>
      </w:r>
      <w:r>
        <w:rPr>
          <w:rFonts w:ascii="Calibri" w:cs="Calibri" w:eastAsia="Calibri" w:hAnsi="Calibri"/>
          <w:color w:val="1B1E23"/>
          <w:sz w:val="20"/>
          <w:szCs w:val="20"/>
        </w:rPr>
        <w:t xml:space="preserve">Until full payment of a Milestone, IP in that Milestone’s Deliverables remains with the Developer.</w:t>
      </w:r>
    </w:p>
    <w:p>
      <w:pPr>
        <w:spacing w:after="80" w:before="220"/>
      </w:pPr>
      <w:r>
        <w:rPr>
          <w:rFonts w:ascii="Calibri" w:cs="Calibri" w:eastAsia="Calibri" w:hAnsi="Calibri"/>
          <w:b/>
          <w:bCs/>
          <w:color w:val="3770BF"/>
          <w:sz w:val="23"/>
          <w:szCs w:val="23"/>
        </w:rPr>
        <w:t xml:space="preserve">9.  Confidentiality</w:t>
      </w:r>
    </w:p>
    <w:p>
      <w:pPr>
        <w:spacing w:after="90" w:line="276"/>
      </w:pPr>
      <w:r>
        <w:rPr>
          <w:rFonts w:ascii="Calibri" w:cs="Calibri" w:eastAsia="Calibri" w:hAnsi="Calibri"/>
          <w:b/>
          <w:bCs/>
          <w:color w:val="1B1E23"/>
          <w:sz w:val="20"/>
          <w:szCs w:val="20"/>
        </w:rPr>
        <w:t xml:space="preserve">9.1  </w:t>
      </w:r>
      <w:r>
        <w:rPr>
          <w:rFonts w:ascii="Calibri" w:cs="Calibri" w:eastAsia="Calibri" w:hAnsi="Calibri"/>
          <w:color w:val="1B1E23"/>
          <w:sz w:val="20"/>
          <w:szCs w:val="20"/>
        </w:rPr>
        <w:t xml:space="preserve">Each Party keeps the other’s confidential information secret, uses it only for this Agreement, and protects it with reasonable care. This survives termination by three (3) years (trade secrets: indefinitely).</w:t>
      </w:r>
    </w:p>
    <w:p>
      <w:pPr>
        <w:spacing w:after="80" w:before="220"/>
      </w:pPr>
      <w:r>
        <w:rPr>
          <w:rFonts w:ascii="Calibri" w:cs="Calibri" w:eastAsia="Calibri" w:hAnsi="Calibri"/>
          <w:b/>
          <w:bCs/>
          <w:color w:val="3770BF"/>
          <w:sz w:val="23"/>
          <w:szCs w:val="23"/>
        </w:rPr>
        <w:t xml:space="preserve">10.  Data protection</w:t>
      </w:r>
    </w:p>
    <w:p>
      <w:pPr>
        <w:spacing w:after="90" w:line="276"/>
      </w:pPr>
      <w:r>
        <w:rPr>
          <w:rFonts w:ascii="Calibri" w:cs="Calibri" w:eastAsia="Calibri" w:hAnsi="Calibri"/>
          <w:b/>
          <w:bCs/>
          <w:color w:val="1B1E23"/>
          <w:sz w:val="20"/>
          <w:szCs w:val="20"/>
        </w:rPr>
        <w:t xml:space="preserve">10.1  </w:t>
      </w:r>
      <w:r>
        <w:rPr>
          <w:rFonts w:ascii="Calibri" w:cs="Calibri" w:eastAsia="Calibri" w:hAnsi="Calibri"/>
          <w:color w:val="1B1E23"/>
          <w:sz w:val="20"/>
          <w:szCs w:val="20"/>
        </w:rPr>
        <w:t xml:space="preserve">The Parties comply with the Digital Personal Data Protection Act, 2023. Personal and KYC data is hosted in India (AWS Mumbai). Identity verification uses only lawful routes — Aadhaar offline XML, DigiLocker, or a licensed KYC partner — and never direct Aadhaar eKYC (Puttaswamy, 2018).</w:t>
      </w:r>
    </w:p>
    <w:p>
      <w:pPr>
        <w:spacing w:after="80" w:before="220"/>
      </w:pPr>
      <w:r>
        <w:rPr>
          <w:rFonts w:ascii="Calibri" w:cs="Calibri" w:eastAsia="Calibri" w:hAnsi="Calibri"/>
          <w:b/>
          <w:bCs/>
          <w:color w:val="3770BF"/>
          <w:sz w:val="23"/>
          <w:szCs w:val="23"/>
        </w:rPr>
        <w:t xml:space="preserve">11.  Warranties &amp; compliance</w:t>
      </w:r>
    </w:p>
    <w:p>
      <w:pPr>
        <w:pStyle w:val="ListParagraph"/>
        <w:numPr>
          <w:ilvl w:val="0"/>
          <w:numId w:val="1"/>
        </w:numPr>
        <w:spacing w:after="60" w:line="276"/>
      </w:pPr>
      <w:r>
        <w:rPr>
          <w:rFonts w:ascii="Calibri" w:cs="Calibri" w:eastAsia="Calibri" w:hAnsi="Calibri"/>
          <w:color w:val="1B1E23"/>
          <w:sz w:val="20"/>
          <w:szCs w:val="20"/>
        </w:rPr>
        <w:t xml:space="preserve">Each Party is duly incorporated and has authority to enter this Agreement.</w:t>
      </w:r>
    </w:p>
    <w:p>
      <w:pPr>
        <w:pStyle w:val="ListParagraph"/>
        <w:numPr>
          <w:ilvl w:val="0"/>
          <w:numId w:val="1"/>
        </w:numPr>
        <w:spacing w:after="60" w:line="276"/>
      </w:pPr>
      <w:r>
        <w:rPr>
          <w:rFonts w:ascii="Calibri" w:cs="Calibri" w:eastAsia="Calibri" w:hAnsi="Calibri"/>
          <w:color w:val="1B1E23"/>
          <w:sz w:val="20"/>
          <w:szCs w:val="20"/>
        </w:rPr>
        <w:t xml:space="preserve">The Developer will perform the Services with reasonable skill and care and using suitably skilled personnel.</w:t>
      </w:r>
    </w:p>
    <w:p>
      <w:pPr>
        <w:pStyle w:val="ListParagraph"/>
        <w:numPr>
          <w:ilvl w:val="0"/>
          <w:numId w:val="1"/>
        </w:numPr>
        <w:spacing w:after="60" w:line="276"/>
      </w:pPr>
      <w:r>
        <w:rPr>
          <w:rFonts w:ascii="Calibri" w:cs="Calibri" w:eastAsia="Calibri" w:hAnsi="Calibri"/>
          <w:color w:val="1B1E23"/>
          <w:sz w:val="20"/>
          <w:szCs w:val="20"/>
        </w:rPr>
        <w:t xml:space="preserve">Each Party complies with applicable law, including tax, labour and data-protection law.</w:t>
      </w:r>
    </w:p>
    <w:p>
      <w:pPr>
        <w:spacing w:after="80" w:before="220"/>
      </w:pPr>
      <w:r>
        <w:rPr>
          <w:rFonts w:ascii="Calibri" w:cs="Calibri" w:eastAsia="Calibri" w:hAnsi="Calibri"/>
          <w:b/>
          <w:bCs/>
          <w:color w:val="3770BF"/>
          <w:sz w:val="23"/>
          <w:szCs w:val="23"/>
        </w:rPr>
        <w:t xml:space="preserve">12.  Change control</w:t>
      </w:r>
    </w:p>
    <w:p>
      <w:pPr>
        <w:spacing w:after="90" w:line="276"/>
      </w:pPr>
      <w:r>
        <w:rPr>
          <w:rFonts w:ascii="Calibri" w:cs="Calibri" w:eastAsia="Calibri" w:hAnsi="Calibri"/>
          <w:b/>
          <w:bCs/>
          <w:color w:val="1B1E23"/>
          <w:sz w:val="20"/>
          <w:szCs w:val="20"/>
        </w:rPr>
        <w:t xml:space="preserve">12.1  </w:t>
      </w:r>
      <w:r>
        <w:rPr>
          <w:rFonts w:ascii="Calibri" w:cs="Calibri" w:eastAsia="Calibri" w:hAnsi="Calibri"/>
          <w:color w:val="1B1E23"/>
          <w:sz w:val="20"/>
          <w:szCs w:val="20"/>
        </w:rPr>
        <w:t xml:space="preserve">Either Party may request a change. The Developer will estimate its effect on fee and timeline; a change takes effect only when both Parties sign a written change order. Bringing any out-of-scope item (e.g. AI Match, rent agreements, services marketplace, multi-city) into the build is a change.</w:t>
      </w:r>
    </w:p>
    <w:p>
      <w:pPr>
        <w:spacing w:after="80" w:before="220"/>
      </w:pPr>
      <w:r>
        <w:rPr>
          <w:rFonts w:ascii="Calibri" w:cs="Calibri" w:eastAsia="Calibri" w:hAnsi="Calibri"/>
          <w:b/>
          <w:bCs/>
          <w:color w:val="3770BF"/>
          <w:sz w:val="23"/>
          <w:szCs w:val="23"/>
        </w:rPr>
        <w:t xml:space="preserve">13.  Term &amp; termination</w:t>
      </w:r>
    </w:p>
    <w:p>
      <w:pPr>
        <w:spacing w:after="90" w:line="276"/>
      </w:pPr>
      <w:r>
        <w:rPr>
          <w:rFonts w:ascii="Calibri" w:cs="Calibri" w:eastAsia="Calibri" w:hAnsi="Calibri"/>
          <w:b/>
          <w:bCs/>
          <w:color w:val="1B1E23"/>
          <w:sz w:val="20"/>
          <w:szCs w:val="20"/>
        </w:rPr>
        <w:t xml:space="preserve">13.1  </w:t>
      </w:r>
      <w:r>
        <w:rPr>
          <w:rFonts w:ascii="Calibri" w:cs="Calibri" w:eastAsia="Calibri" w:hAnsi="Calibri"/>
          <w:color w:val="1B1E23"/>
          <w:sz w:val="20"/>
          <w:szCs w:val="20"/>
        </w:rPr>
        <w:t xml:space="preserve">This Agreement runs from the effective date until Go-Live and the end of the warranty period, unless terminated earlier.</w:t>
      </w:r>
    </w:p>
    <w:p>
      <w:pPr>
        <w:spacing w:after="90" w:line="276"/>
      </w:pPr>
      <w:r>
        <w:rPr>
          <w:rFonts w:ascii="Calibri" w:cs="Calibri" w:eastAsia="Calibri" w:hAnsi="Calibri"/>
          <w:b/>
          <w:bCs/>
          <w:color w:val="1B1E23"/>
          <w:sz w:val="20"/>
          <w:szCs w:val="20"/>
        </w:rPr>
        <w:t xml:space="preserve">13.2  </w:t>
      </w:r>
      <w:r>
        <w:rPr>
          <w:rFonts w:ascii="Calibri" w:cs="Calibri" w:eastAsia="Calibri" w:hAnsi="Calibri"/>
          <w:color w:val="1B1E23"/>
          <w:sz w:val="20"/>
          <w:szCs w:val="20"/>
        </w:rPr>
        <w:t xml:space="preserve">Either Party may terminate on [30] days’ written notice for uncured material breach, or immediately on the other’s insolvency.</w:t>
      </w:r>
    </w:p>
    <w:p>
      <w:pPr>
        <w:spacing w:after="90" w:line="276"/>
      </w:pPr>
      <w:r>
        <w:rPr>
          <w:rFonts w:ascii="Calibri" w:cs="Calibri" w:eastAsia="Calibri" w:hAnsi="Calibri"/>
          <w:b/>
          <w:bCs/>
          <w:color w:val="1B1E23"/>
          <w:sz w:val="20"/>
          <w:szCs w:val="20"/>
        </w:rPr>
        <w:t xml:space="preserve">13.3  </w:t>
      </w:r>
      <w:r>
        <w:rPr>
          <w:rFonts w:ascii="Calibri" w:cs="Calibri" w:eastAsia="Calibri" w:hAnsi="Calibri"/>
          <w:color w:val="1B1E23"/>
          <w:sz w:val="20"/>
          <w:szCs w:val="20"/>
        </w:rPr>
        <w:t xml:space="preserve">On termination, the Client pays for Services accepted and work-in-progress to the termination date; the Developer hands over paid-for Deliverables. Clauses on IP (paid items), confidentiality, data protection, liability and governing law survive.</w:t>
      </w:r>
    </w:p>
    <w:p>
      <w:pPr>
        <w:spacing w:after="80" w:before="220"/>
      </w:pPr>
      <w:r>
        <w:rPr>
          <w:rFonts w:ascii="Calibri" w:cs="Calibri" w:eastAsia="Calibri" w:hAnsi="Calibri"/>
          <w:b/>
          <w:bCs/>
          <w:color w:val="3770BF"/>
          <w:sz w:val="23"/>
          <w:szCs w:val="23"/>
        </w:rPr>
        <w:t xml:space="preserve">14.  Limitation of liability</w:t>
      </w:r>
    </w:p>
    <w:p>
      <w:pPr>
        <w:spacing w:after="90" w:line="276"/>
      </w:pPr>
      <w:r>
        <w:rPr>
          <w:rFonts w:ascii="Calibri" w:cs="Calibri" w:eastAsia="Calibri" w:hAnsi="Calibri"/>
          <w:b/>
          <w:bCs/>
          <w:color w:val="1B1E23"/>
          <w:sz w:val="20"/>
          <w:szCs w:val="20"/>
        </w:rPr>
        <w:t xml:space="preserve">14.1  </w:t>
      </w:r>
      <w:r>
        <w:rPr>
          <w:rFonts w:ascii="Calibri" w:cs="Calibri" w:eastAsia="Calibri" w:hAnsi="Calibri"/>
          <w:color w:val="1B1E23"/>
          <w:sz w:val="20"/>
          <w:szCs w:val="20"/>
        </w:rPr>
        <w:t xml:space="preserve">Neither Party is liable for indirect or consequential loss. Each Party’s total liability under this Agreement is capped at the total fees paid or payable under it, except for confidentiality breach, IP infringement, data-protection breach, or wilful misconduct.</w:t>
      </w:r>
    </w:p>
    <w:p>
      <w:pPr>
        <w:spacing w:after="80" w:before="220"/>
      </w:pPr>
      <w:r>
        <w:rPr>
          <w:rFonts w:ascii="Calibri" w:cs="Calibri" w:eastAsia="Calibri" w:hAnsi="Calibri"/>
          <w:b/>
          <w:bCs/>
          <w:color w:val="3770BF"/>
          <w:sz w:val="23"/>
          <w:szCs w:val="23"/>
        </w:rPr>
        <w:t xml:space="preserve">15.  Independent contractor</w:t>
      </w:r>
    </w:p>
    <w:p>
      <w:pPr>
        <w:spacing w:after="90" w:line="276"/>
      </w:pPr>
      <w:r>
        <w:rPr>
          <w:rFonts w:ascii="Calibri" w:cs="Calibri" w:eastAsia="Calibri" w:hAnsi="Calibri"/>
          <w:b/>
          <w:bCs/>
          <w:color w:val="1B1E23"/>
          <w:sz w:val="20"/>
          <w:szCs w:val="20"/>
        </w:rPr>
        <w:t xml:space="preserve">15.1  </w:t>
      </w:r>
      <w:r>
        <w:rPr>
          <w:rFonts w:ascii="Calibri" w:cs="Calibri" w:eastAsia="Calibri" w:hAnsi="Calibri"/>
          <w:color w:val="1B1E23"/>
          <w:sz w:val="20"/>
          <w:szCs w:val="20"/>
        </w:rPr>
        <w:t xml:space="preserve">The Developer is an independent contractor. Nothing here creates employment, partnership or agency. The Developer is responsible for its personnel, their statutory dues and taxes.</w:t>
      </w:r>
    </w:p>
    <w:p>
      <w:pPr>
        <w:spacing w:after="90" w:line="276"/>
      </w:pPr>
      <w:r>
        <w:rPr>
          <w:rFonts w:ascii="Calibri" w:cs="Calibri" w:eastAsia="Calibri" w:hAnsi="Calibri"/>
          <w:b/>
          <w:bCs/>
          <w:color w:val="1B1E23"/>
          <w:sz w:val="20"/>
          <w:szCs w:val="20"/>
        </w:rPr>
        <w:t xml:space="preserve">15.2  </w:t>
      </w:r>
      <w:r>
        <w:rPr>
          <w:rFonts w:ascii="Calibri" w:cs="Calibri" w:eastAsia="Calibri" w:hAnsi="Calibri"/>
          <w:color w:val="1B1E23"/>
          <w:sz w:val="20"/>
          <w:szCs w:val="20"/>
        </w:rPr>
        <w:t xml:space="preserve">Neither Party will solicit the other’s employees engaged on this project for [12] months after the project ends, except through general public advertising.</w:t>
      </w:r>
    </w:p>
    <w:p>
      <w:pPr>
        <w:spacing w:after="80" w:before="220"/>
      </w:pPr>
      <w:r>
        <w:rPr>
          <w:rFonts w:ascii="Calibri" w:cs="Calibri" w:eastAsia="Calibri" w:hAnsi="Calibri"/>
          <w:b/>
          <w:bCs/>
          <w:color w:val="3770BF"/>
          <w:sz w:val="23"/>
          <w:szCs w:val="23"/>
        </w:rPr>
        <w:t xml:space="preserve">16.  Relationship to the equity arrangement</w:t>
      </w:r>
    </w:p>
    <w:p>
      <w:pPr>
        <w:spacing w:after="90" w:line="276"/>
      </w:pPr>
      <w:r>
        <w:rPr>
          <w:rFonts w:ascii="Calibri" w:cs="Calibri" w:eastAsia="Calibri" w:hAnsi="Calibri"/>
          <w:b/>
          <w:bCs/>
          <w:color w:val="1B1E23"/>
          <w:sz w:val="20"/>
          <w:szCs w:val="20"/>
        </w:rPr>
        <w:t xml:space="preserve">16.1  </w:t>
      </w:r>
      <w:r>
        <w:rPr>
          <w:rFonts w:ascii="Calibri" w:cs="Calibri" w:eastAsia="Calibri" w:hAnsi="Calibri"/>
          <w:color w:val="1B1E23"/>
          <w:sz w:val="20"/>
          <w:szCs w:val="20"/>
        </w:rPr>
        <w:t xml:space="preserve">This Agreement governs the paid build only. The equity granted to Yogesh personally as CTO + CPO is documented separately (Shareholders’/Subscription Agreement) and is not consideration under, or affected by, this Agreement.</w:t>
      </w:r>
    </w:p>
    <w:p>
      <w:pPr>
        <w:spacing w:after="80" w:before="220"/>
      </w:pPr>
      <w:r>
        <w:rPr>
          <w:rFonts w:ascii="Calibri" w:cs="Calibri" w:eastAsia="Calibri" w:hAnsi="Calibri"/>
          <w:b/>
          <w:bCs/>
          <w:color w:val="3770BF"/>
          <w:sz w:val="23"/>
          <w:szCs w:val="23"/>
        </w:rPr>
        <w:t xml:space="preserve">17.  Dispute resolution &amp; governing law</w:t>
      </w:r>
    </w:p>
    <w:p>
      <w:pPr>
        <w:spacing w:after="90" w:line="276"/>
      </w:pPr>
      <w:r>
        <w:rPr>
          <w:rFonts w:ascii="Calibri" w:cs="Calibri" w:eastAsia="Calibri" w:hAnsi="Calibri"/>
          <w:b/>
          <w:bCs/>
          <w:color w:val="1B1E23"/>
          <w:sz w:val="20"/>
          <w:szCs w:val="20"/>
        </w:rPr>
        <w:t xml:space="preserve">17.1  </w:t>
      </w:r>
      <w:r>
        <w:rPr>
          <w:rFonts w:ascii="Calibri" w:cs="Calibri" w:eastAsia="Calibri" w:hAnsi="Calibri"/>
          <w:color w:val="1B1E23"/>
          <w:sz w:val="20"/>
          <w:szCs w:val="20"/>
        </w:rPr>
        <w:t xml:space="preserve">This Agreement is governed by the laws of India. Disputes are first escalated between senior representatives; if unresolved within [15] days, referred to arbitration by a sole arbitrator under the Arbitration and Conciliation Act, 1996, seat at [Mumbai / Bengaluru], in English. Courts at [•] have supervisory jurisdiction.</w:t>
      </w:r>
    </w:p>
    <w:p>
      <w:pPr>
        <w:spacing w:after="80" w:before="220"/>
      </w:pPr>
      <w:r>
        <w:rPr>
          <w:rFonts w:ascii="Calibri" w:cs="Calibri" w:eastAsia="Calibri" w:hAnsi="Calibri"/>
          <w:b/>
          <w:bCs/>
          <w:color w:val="3770BF"/>
          <w:sz w:val="23"/>
          <w:szCs w:val="23"/>
        </w:rPr>
        <w:t xml:space="preserve">18.  General</w:t>
      </w:r>
    </w:p>
    <w:p>
      <w:pPr>
        <w:pStyle w:val="ListParagraph"/>
        <w:numPr>
          <w:ilvl w:val="0"/>
          <w:numId w:val="1"/>
        </w:numPr>
        <w:spacing w:after="60" w:line="276"/>
      </w:pPr>
      <w:r>
        <w:rPr>
          <w:rFonts w:ascii="Calibri" w:cs="Calibri" w:eastAsia="Calibri" w:hAnsi="Calibri"/>
          <w:color w:val="1B1E23"/>
          <w:sz w:val="20"/>
          <w:szCs w:val="20"/>
        </w:rPr>
        <w:t xml:space="preserve">Entire agreement: this Agreement and its Schedules are the whole agreement and supersede the term sheet, except its surviving binding clauses.</w:t>
      </w:r>
    </w:p>
    <w:p>
      <w:pPr>
        <w:pStyle w:val="ListParagraph"/>
        <w:numPr>
          <w:ilvl w:val="0"/>
          <w:numId w:val="1"/>
        </w:numPr>
        <w:spacing w:after="60" w:line="276"/>
      </w:pPr>
      <w:r>
        <w:rPr>
          <w:rFonts w:ascii="Calibri" w:cs="Calibri" w:eastAsia="Calibri" w:hAnsi="Calibri"/>
          <w:color w:val="1B1E23"/>
          <w:sz w:val="20"/>
          <w:szCs w:val="20"/>
        </w:rPr>
        <w:t xml:space="preserve">Amendments must be in writing and signed by both Parties.</w:t>
      </w:r>
    </w:p>
    <w:p>
      <w:pPr>
        <w:pStyle w:val="ListParagraph"/>
        <w:numPr>
          <w:ilvl w:val="0"/>
          <w:numId w:val="1"/>
        </w:numPr>
        <w:spacing w:after="60" w:line="276"/>
      </w:pPr>
      <w:r>
        <w:rPr>
          <w:rFonts w:ascii="Calibri" w:cs="Calibri" w:eastAsia="Calibri" w:hAnsi="Calibri"/>
          <w:color w:val="1B1E23"/>
          <w:sz w:val="20"/>
          <w:szCs w:val="20"/>
        </w:rPr>
        <w:t xml:space="preserve">Neither Party may assign without the other’s written consent, not unreasonably withheld.</w:t>
      </w:r>
    </w:p>
    <w:p>
      <w:pPr>
        <w:pStyle w:val="ListParagraph"/>
        <w:numPr>
          <w:ilvl w:val="0"/>
          <w:numId w:val="1"/>
        </w:numPr>
        <w:spacing w:after="60" w:line="276"/>
      </w:pPr>
      <w:r>
        <w:rPr>
          <w:rFonts w:ascii="Calibri" w:cs="Calibri" w:eastAsia="Calibri" w:hAnsi="Calibri"/>
          <w:color w:val="1B1E23"/>
          <w:sz w:val="20"/>
          <w:szCs w:val="20"/>
        </w:rPr>
        <w:t xml:space="preserve">Notices in writing to the addresses above (or as updated in writing).</w:t>
      </w:r>
    </w:p>
    <w:p>
      <w:pPr>
        <w:pStyle w:val="ListParagraph"/>
        <w:numPr>
          <w:ilvl w:val="0"/>
          <w:numId w:val="1"/>
        </w:numPr>
        <w:spacing w:after="60" w:line="276"/>
      </w:pPr>
      <w:r>
        <w:rPr>
          <w:rFonts w:ascii="Calibri" w:cs="Calibri" w:eastAsia="Calibri" w:hAnsi="Calibri"/>
          <w:color w:val="1B1E23"/>
          <w:sz w:val="20"/>
          <w:szCs w:val="20"/>
        </w:rPr>
        <w:t xml:space="preserve">If any provision is unenforceable, the rest remains in force.</w:t>
      </w:r>
    </w:p>
    <w:p>
      <w:r>
        <w:br w:type="page"/>
      </w:r>
    </w:p>
    <w:p>
      <w:pPr>
        <w:pStyle w:val="Heading1"/>
        <w:spacing w:after="120" w:before="260"/>
      </w:pPr>
      <w:r>
        <w:rPr>
          <w:rFonts w:ascii="Calibri" w:cs="Calibri" w:eastAsia="Calibri" w:hAnsi="Calibri"/>
          <w:b/>
          <w:bCs/>
          <w:color w:val="3770BF"/>
          <w:sz w:val="28"/>
          <w:szCs w:val="28"/>
        </w:rPr>
        <w:t xml:space="preserve">Schedule A — Scope of Work</w:t>
      </w:r>
    </w:p>
    <w:p>
      <w:pPr>
        <w:pStyle w:val="Heading2"/>
        <w:spacing w:after="80" w:before="200"/>
      </w:pPr>
      <w:r>
        <w:rPr>
          <w:rFonts w:ascii="Calibri" w:cs="Calibri" w:eastAsia="Calibri" w:hAnsi="Calibri"/>
          <w:b/>
          <w:bCs/>
          <w:color w:val="1B1E23"/>
          <w:sz w:val="23"/>
          <w:szCs w:val="23"/>
        </w:rPr>
        <w:t xml:space="preserve">In scope (P0 — delivered, fully functional)</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2600"/>
        <w:gridCol w:w="6400"/>
      </w:tblGrid>
      <w:tr>
        <w:trPr>
          <w:tblHeader/>
        </w:trPr>
        <w:tc>
          <w:tcPr>
            <w:tcW w:type="dxa" w:w="26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Feature</w:t>
            </w:r>
          </w:p>
        </w:tc>
        <w:tc>
          <w:tcPr>
            <w:tcW w:type="dxa" w:w="64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What is delivered</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Search &amp; map discovery</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Locality search; BHK / budget / furnishing / tenant-type filters; list + map view (Ola Maps / MapmyIndia).</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Owner listing creation</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Post property with photos, rent, deposit, preferences and geotag.</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Trust badges</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Verified Owner (Aadhaar/PAN + ownership proof) and Verified Tenant (employment/income KYC).</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Rental Trust Score</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0–100 score from verification level, response rate, listing freshness and reviews.</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Pay-to-connect</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Contact unlock for a fee via Razorpay; kills fake/casual enquiries.</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Contact masking</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Exotel virtual numbers so owner phone numbers stay private.</w:t>
            </w:r>
          </w:p>
        </w:tc>
      </w:tr>
      <w:tr>
        <w:tc>
          <w:tcPr>
            <w:tcW w:type="dxa" w:w="2600"/>
            <w:tcMar>
              <w:top w:type="dxa" w:w="60"/>
              <w:left w:type="dxa" w:w="90"/>
              <w:bottom w:type="dxa" w:w="60"/>
              <w:right w:type="dxa" w:w="90"/>
            </w:tcMar>
            <w:vAlign w:val="center"/>
          </w:tcPr>
          <w:p>
            <w:r>
              <w:rPr>
                <w:rFonts w:ascii="Calibri" w:cs="Calibri" w:eastAsia="Calibri" w:hAnsi="Calibri"/>
                <w:b/>
                <w:bCs/>
                <w:color w:val="1B1E23"/>
                <w:sz w:val="20"/>
                <w:szCs w:val="20"/>
              </w:rPr>
              <w:t xml:space="preserve">Supporting platform</w:t>
            </w:r>
          </w:p>
        </w:tc>
        <w:tc>
          <w:tcPr>
            <w:tcW w:type="dxa" w:w="6400"/>
            <w:tcMar>
              <w:top w:type="dxa" w:w="60"/>
              <w:left w:type="dxa" w:w="90"/>
              <w:bottom w:type="dxa" w:w="60"/>
              <w:right w:type="dxa" w:w="90"/>
            </w:tcMar>
            <w:vAlign w:val="center"/>
          </w:tcPr>
          <w:p>
            <w:r>
              <w:rPr>
                <w:rFonts w:ascii="Calibri" w:cs="Calibri" w:eastAsia="Calibri" w:hAnsi="Calibri"/>
                <w:color w:val="1B1E23"/>
                <w:sz w:val="20"/>
                <w:szCs w:val="20"/>
              </w:rPr>
              <w:t xml:space="preserve">OTP login, owner &amp; tenant KYC flows (legal route), owner dashboard, responsive mobile-first web — one city (Bengaluru), rentals only, on a real backend (Node/TypeScript, PostgreSQL/PostGIS, Typesense, AWS Mumbai).</w:t>
            </w:r>
          </w:p>
        </w:tc>
      </w:tr>
    </w:tbl>
    <w:p>
      <w:pPr>
        <w:pStyle w:val="Heading2"/>
        <w:spacing w:after="80" w:before="200"/>
      </w:pPr>
      <w:r>
        <w:rPr>
          <w:rFonts w:ascii="Calibri" w:cs="Calibri" w:eastAsia="Calibri" w:hAnsi="Calibri"/>
          <w:b/>
          <w:bCs/>
          <w:color w:val="1B1E23"/>
          <w:sz w:val="23"/>
          <w:szCs w:val="23"/>
        </w:rPr>
        <w:t xml:space="preserve">Out of scope</w:t>
      </w:r>
    </w:p>
    <w:p>
      <w:pPr>
        <w:pStyle w:val="ListParagraph"/>
        <w:numPr>
          <w:ilvl w:val="0"/>
          <w:numId w:val="1"/>
        </w:numPr>
        <w:spacing w:after="60" w:line="276"/>
      </w:pPr>
      <w:r>
        <w:rPr>
          <w:rFonts w:ascii="Calibri" w:cs="Calibri" w:eastAsia="Calibri" w:hAnsi="Calibri"/>
          <w:color w:val="1B1E23"/>
          <w:sz w:val="20"/>
          <w:szCs w:val="20"/>
        </w:rPr>
        <w:t xml:space="preserve">AI Match Score — including rule-based matchmaking (P1, future phase).</w:t>
      </w:r>
    </w:p>
    <w:p>
      <w:pPr>
        <w:pStyle w:val="ListParagraph"/>
        <w:numPr>
          <w:ilvl w:val="0"/>
          <w:numId w:val="1"/>
        </w:numPr>
        <w:spacing w:after="60" w:line="276"/>
      </w:pPr>
      <w:r>
        <w:rPr>
          <w:rFonts w:ascii="Calibri" w:cs="Calibri" w:eastAsia="Calibri" w:hAnsi="Calibri"/>
          <w:color w:val="1B1E23"/>
          <w:sz w:val="20"/>
          <w:szCs w:val="20"/>
        </w:rPr>
        <w:t xml:space="preserve">Digital rent agreement, Aadhaar eSign and e-stamping (P1).</w:t>
      </w:r>
    </w:p>
    <w:p>
      <w:pPr>
        <w:pStyle w:val="ListParagraph"/>
        <w:numPr>
          <w:ilvl w:val="0"/>
          <w:numId w:val="1"/>
        </w:numPr>
        <w:spacing w:after="60" w:line="276"/>
      </w:pPr>
      <w:r>
        <w:rPr>
          <w:rFonts w:ascii="Calibri" w:cs="Calibri" w:eastAsia="Calibri" w:hAnsi="Calibri"/>
          <w:color w:val="1B1E23"/>
          <w:sz w:val="20"/>
          <w:szCs w:val="20"/>
        </w:rPr>
        <w:t xml:space="preserve">Fraud / broker detection and duplicate-photo detection (P1).</w:t>
      </w:r>
    </w:p>
    <w:p>
      <w:pPr>
        <w:pStyle w:val="ListParagraph"/>
        <w:numPr>
          <w:ilvl w:val="0"/>
          <w:numId w:val="1"/>
        </w:numPr>
        <w:spacing w:after="60" w:line="276"/>
      </w:pPr>
      <w:r>
        <w:rPr>
          <w:rFonts w:ascii="Calibri" w:cs="Calibri" w:eastAsia="Calibri" w:hAnsi="Calibri"/>
          <w:color w:val="1B1E23"/>
          <w:sz w:val="20"/>
          <w:szCs w:val="20"/>
        </w:rPr>
        <w:t xml:space="preserve">Services marketplace — movers, cleaning, furniture, interiors (P2).</w:t>
      </w:r>
    </w:p>
    <w:p>
      <w:pPr>
        <w:pStyle w:val="ListParagraph"/>
        <w:numPr>
          <w:ilvl w:val="0"/>
          <w:numId w:val="1"/>
        </w:numPr>
        <w:spacing w:after="60" w:line="276"/>
      </w:pPr>
      <w:r>
        <w:rPr>
          <w:rFonts w:ascii="Calibri" w:cs="Calibri" w:eastAsia="Calibri" w:hAnsi="Calibri"/>
          <w:color w:val="1B1E23"/>
          <w:sz w:val="20"/>
          <w:szCs w:val="20"/>
        </w:rPr>
        <w:t xml:space="preserve">Resale / buy flows.</w:t>
      </w:r>
    </w:p>
    <w:p>
      <w:pPr>
        <w:pStyle w:val="ListParagraph"/>
        <w:numPr>
          <w:ilvl w:val="0"/>
          <w:numId w:val="1"/>
        </w:numPr>
        <w:spacing w:after="60" w:line="276"/>
      </w:pPr>
      <w:r>
        <w:rPr>
          <w:rFonts w:ascii="Calibri" w:cs="Calibri" w:eastAsia="Calibri" w:hAnsi="Calibri"/>
          <w:color w:val="1B1E23"/>
          <w:sz w:val="20"/>
          <w:szCs w:val="20"/>
        </w:rPr>
        <w:t xml:space="preserve">Native mobile apps (iOS/Android).</w:t>
      </w:r>
    </w:p>
    <w:p>
      <w:pPr>
        <w:pStyle w:val="ListParagraph"/>
        <w:numPr>
          <w:ilvl w:val="0"/>
          <w:numId w:val="1"/>
        </w:numPr>
        <w:spacing w:after="60" w:line="276"/>
      </w:pPr>
      <w:r>
        <w:rPr>
          <w:rFonts w:ascii="Calibri" w:cs="Calibri" w:eastAsia="Calibri" w:hAnsi="Calibri"/>
          <w:color w:val="1B1E23"/>
          <w:sz w:val="20"/>
          <w:szCs w:val="20"/>
        </w:rPr>
        <w:t xml:space="preserve">Multi-city expansion (single-city Bengaluru only).</w:t>
      </w:r>
    </w:p>
    <w:p>
      <w:pPr>
        <w:pStyle w:val="ListParagraph"/>
        <w:numPr>
          <w:ilvl w:val="0"/>
          <w:numId w:val="1"/>
        </w:numPr>
        <w:spacing w:after="60" w:line="276"/>
      </w:pPr>
      <w:r>
        <w:rPr>
          <w:rFonts w:ascii="Calibri" w:cs="Calibri" w:eastAsia="Calibri" w:hAnsi="Calibri"/>
          <w:color w:val="1B1E23"/>
          <w:sz w:val="20"/>
          <w:szCs w:val="20"/>
        </w:rPr>
        <w:t xml:space="preserve">In-app rent payment / rent collection.</w:t>
      </w:r>
    </w:p>
    <w:p>
      <w:pPr>
        <w:pStyle w:val="ListParagraph"/>
        <w:numPr>
          <w:ilvl w:val="0"/>
          <w:numId w:val="1"/>
        </w:numPr>
        <w:spacing w:after="60" w:line="276"/>
      </w:pPr>
      <w:r>
        <w:rPr>
          <w:rFonts w:ascii="Calibri" w:cs="Calibri" w:eastAsia="Calibri" w:hAnsi="Calibri"/>
          <w:color w:val="1B1E23"/>
          <w:sz w:val="20"/>
          <w:szCs w:val="20"/>
        </w:rPr>
        <w:t xml:space="preserve">Tenant criminal background checks.</w:t>
      </w:r>
    </w:p>
    <w:p>
      <w:pPr>
        <w:pStyle w:val="Heading2"/>
        <w:spacing w:after="80" w:before="200"/>
      </w:pPr>
      <w:r>
        <w:rPr>
          <w:rFonts w:ascii="Calibri" w:cs="Calibri" w:eastAsia="Calibri" w:hAnsi="Calibri"/>
          <w:b/>
          <w:bCs/>
          <w:color w:val="1B1E23"/>
          <w:sz w:val="23"/>
          <w:szCs w:val="23"/>
        </w:rPr>
        <w:t xml:space="preserve">Constraints</w:t>
      </w:r>
    </w:p>
    <w:p>
      <w:pPr>
        <w:pStyle w:val="ListParagraph"/>
        <w:numPr>
          <w:ilvl w:val="0"/>
          <w:numId w:val="1"/>
        </w:numPr>
        <w:spacing w:after="60" w:line="276"/>
      </w:pPr>
      <w:r>
        <w:rPr>
          <w:rFonts w:ascii="Calibri" w:cs="Calibri" w:eastAsia="Calibri" w:hAnsi="Calibri"/>
          <w:color w:val="1B1E23"/>
          <w:sz w:val="20"/>
          <w:szCs w:val="20"/>
        </w:rPr>
        <w:t xml:space="preserve">One city (Bengaluru), rentals only, responsive web-first (no native apps).</w:t>
      </w:r>
    </w:p>
    <w:p>
      <w:pPr>
        <w:pStyle w:val="ListParagraph"/>
        <w:numPr>
          <w:ilvl w:val="0"/>
          <w:numId w:val="1"/>
        </w:numPr>
        <w:spacing w:after="60" w:line="276"/>
      </w:pPr>
      <w:r>
        <w:rPr>
          <w:rFonts w:ascii="Calibri" w:cs="Calibri" w:eastAsia="Calibri" w:hAnsi="Calibri"/>
          <w:color w:val="1B1E23"/>
          <w:sz w:val="20"/>
          <w:szCs w:val="20"/>
        </w:rPr>
        <w:t xml:space="preserve">Stack: Next.js/React, Node.js + TypeScript, PostgreSQL + PostGIS, Typesense, AWS Mumbai, Razorpay, Exotel, licensed KYC vendor.</w:t>
      </w:r>
    </w:p>
    <w:p>
      <w:r>
        <w:br w:type="page"/>
      </w:r>
    </w:p>
    <w:p>
      <w:pPr>
        <w:pStyle w:val="Heading1"/>
        <w:spacing w:after="120" w:before="260"/>
      </w:pPr>
      <w:r>
        <w:rPr>
          <w:rFonts w:ascii="Calibri" w:cs="Calibri" w:eastAsia="Calibri" w:hAnsi="Calibri"/>
          <w:b/>
          <w:bCs/>
          <w:color w:val="3770BF"/>
          <w:sz w:val="28"/>
          <w:szCs w:val="28"/>
        </w:rPr>
        <w:t xml:space="preserve">Schedule B — Milestones &amp; Payment</w:t>
      </w:r>
    </w:p>
    <w:tbl>
      <w:tblPr>
        <w:tblW w:type="dxa" w:w="8500"/>
        <w:tblBorders>
          <w:top w:val="single" w:color="DDE3EE" w:sz="4"/>
          <w:left w:val="single" w:color="DDE3EE" w:sz="4"/>
          <w:bottom w:val="single" w:color="DDE3EE" w:sz="4"/>
          <w:right w:val="single" w:color="DDE3EE" w:sz="4"/>
          <w:insideH w:val="single" w:color="DDE3EE" w:sz="4"/>
          <w:insideV w:val="single" w:color="DDE3EE" w:sz="4"/>
        </w:tblBorders>
      </w:tblPr>
      <w:tblGrid>
        <w:gridCol w:w="1650"/>
        <w:gridCol w:w="3350"/>
        <w:gridCol w:w="1150"/>
        <w:gridCol w:w="750"/>
        <w:gridCol w:w="1600"/>
      </w:tblGrid>
      <w:tr>
        <w:trPr>
          <w:tblHeader/>
        </w:trPr>
        <w:tc>
          <w:tcPr>
            <w:tcW w:type="dxa" w:w="16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Milestone</w:t>
            </w:r>
          </w:p>
        </w:tc>
        <w:tc>
          <w:tcPr>
            <w:tcW w:type="dxa" w:w="33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Deliverable</w:t>
            </w:r>
          </w:p>
        </w:tc>
        <w:tc>
          <w:tcPr>
            <w:tcW w:type="dxa" w:w="11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Target</w:t>
            </w:r>
          </w:p>
        </w:tc>
        <w:tc>
          <w:tcPr>
            <w:tcW w:type="dxa" w:w="75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w:t>
            </w:r>
          </w:p>
        </w:tc>
        <w:tc>
          <w:tcPr>
            <w:tcW w:type="dxa" w:w="1600"/>
            <w:shd w:fill="3770BF" w:color="auto" w:val="clear"/>
            <w:tcMar>
              <w:top w:type="dxa" w:w="60"/>
              <w:left w:type="dxa" w:w="90"/>
              <w:bottom w:type="dxa" w:w="60"/>
              <w:right w:type="dxa" w:w="90"/>
            </w:tcMar>
            <w:vAlign w:val="center"/>
          </w:tcPr>
          <w:p>
            <w:r>
              <w:rPr>
                <w:rFonts w:ascii="Calibri" w:cs="Calibri" w:eastAsia="Calibri" w:hAnsi="Calibri"/>
                <w:b/>
                <w:bCs/>
                <w:color w:val="FFFFFF"/>
                <w:sz w:val="20"/>
                <w:szCs w:val="20"/>
              </w:rPr>
              <w:t xml:space="preserve">Amount</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M0 · Mobilization</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Signed SOW, kickoff, pod mobilized, cloud/dev environments provisioned</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On signing</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M1 · Foundations</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AWS Mumbai infra + CI/CD, OTP auth, PostgreSQL/PostGIS schema, design system, responsive app shell</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4</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M2 · Discovery</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Locality search + filters, list + map view, owner listing creation (photos/rent/geotag), listing detail — on live data</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8</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20%</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₹10,00,000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M3 · Trust layer</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Owner &amp; Tenant KYC (Aadhaar offline XML/DigiLocker + PAN + ownership-proof review), Verified badges, Rental Trust Score live</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12</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20%</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₹10,00,000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M4 · Transactions</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Pay-to-connect (Razorpay), contact masking (Exotel), owner dashboard</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15</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tcMar>
              <w:top w:type="dxa" w:w="60"/>
              <w:left w:type="dxa" w:w="90"/>
              <w:bottom w:type="dxa" w:w="60"/>
              <w:right w:type="dxa" w:w="90"/>
            </w:tcMar>
            <w:vAlign w:val="center"/>
          </w:tcPr>
          <w:p>
            <w:r>
              <w:rPr>
                <w:rFonts w:ascii="Calibri" w:cs="Calibri" w:eastAsia="Calibri" w:hAnsi="Calibri"/>
                <w:b/>
                <w:bCs/>
                <w:color w:val="1B1E23"/>
                <w:sz w:val="20"/>
                <w:szCs w:val="20"/>
              </w:rPr>
              <w:t xml:space="preserve">M5 · Launch</w:t>
            </w:r>
          </w:p>
        </w:tc>
        <w:tc>
          <w:tcPr>
            <w:tcW w:type="dxa" w:w="3350"/>
            <w:tcMar>
              <w:top w:type="dxa" w:w="60"/>
              <w:left w:type="dxa" w:w="90"/>
              <w:bottom w:type="dxa" w:w="60"/>
              <w:right w:type="dxa" w:w="90"/>
            </w:tcMar>
            <w:vAlign w:val="center"/>
          </w:tcPr>
          <w:p>
            <w:r>
              <w:rPr>
                <w:rFonts w:ascii="Calibri" w:cs="Calibri" w:eastAsia="Calibri" w:hAnsi="Calibri"/>
                <w:color w:val="1B1E23"/>
                <w:sz w:val="20"/>
                <w:szCs w:val="20"/>
              </w:rPr>
              <w:t xml:space="preserve">Security/hardening pass, UAT sign-off, production deploy, Bengaluru go-live</w:t>
            </w:r>
          </w:p>
        </w:tc>
        <w:tc>
          <w:tcPr>
            <w:tcW w:type="dxa" w:w="1150"/>
            <w:tcMar>
              <w:top w:type="dxa" w:w="60"/>
              <w:left w:type="dxa" w:w="90"/>
              <w:bottom w:type="dxa" w:w="60"/>
              <w:right w:type="dxa" w:w="90"/>
            </w:tcMar>
            <w:vAlign w:val="center"/>
          </w:tcPr>
          <w:p>
            <w:pPr>
              <w:jc w:val="center"/>
            </w:pPr>
            <w:r>
              <w:rPr>
                <w:rFonts w:ascii="Calibri" w:cs="Calibri" w:eastAsia="Calibri" w:hAnsi="Calibri"/>
                <w:color w:val="1B1E23"/>
                <w:sz w:val="20"/>
                <w:szCs w:val="20"/>
              </w:rPr>
              <w:t xml:space="preserve">Week 18</w:t>
            </w:r>
          </w:p>
        </w:tc>
        <w:tc>
          <w:tcPr>
            <w:tcW w:type="dxa" w:w="750"/>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15%</w:t>
            </w:r>
          </w:p>
        </w:tc>
        <w:tc>
          <w:tcPr>
            <w:tcW w:type="dxa" w:w="1600"/>
            <w:tcMar>
              <w:top w:type="dxa" w:w="60"/>
              <w:left w:type="dxa" w:w="90"/>
              <w:bottom w:type="dxa" w:w="60"/>
              <w:right w:type="dxa" w:w="90"/>
            </w:tcMar>
            <w:vAlign w:val="center"/>
          </w:tcPr>
          <w:p>
            <w:pPr>
              <w:jc w:val="right"/>
            </w:pPr>
            <w:r>
              <w:rPr>
                <w:rFonts w:ascii="Calibri" w:cs="Calibri" w:eastAsia="Calibri" w:hAnsi="Calibri"/>
                <w:color w:val="1B1E23"/>
                <w:sz w:val="20"/>
                <w:szCs w:val="20"/>
              </w:rPr>
              <w:t xml:space="preserve">₹7,50,000</w:t>
            </w:r>
          </w:p>
        </w:tc>
      </w:tr>
      <w:tr>
        <w:tc>
          <w:tcPr>
            <w:tcW w:type="dxa" w:w="1650"/>
            <w:shd w:fill="F3F6FF" w:color="auto" w:val="clear"/>
            <w:tcMar>
              <w:top w:type="dxa" w:w="60"/>
              <w:left w:type="dxa" w:w="90"/>
              <w:bottom w:type="dxa" w:w="60"/>
              <w:right w:type="dxa" w:w="90"/>
            </w:tcMar>
            <w:vAlign w:val="center"/>
          </w:tcPr>
          <w:p>
            <w:r>
              <w:rPr>
                <w:rFonts w:ascii="Calibri" w:cs="Calibri" w:eastAsia="Calibri" w:hAnsi="Calibri"/>
                <w:b/>
                <w:bCs/>
                <w:color w:val="1B1E23"/>
                <w:sz w:val="20"/>
                <w:szCs w:val="20"/>
              </w:rPr>
              <w:t xml:space="preserve">Total</w:t>
            </w:r>
          </w:p>
        </w:tc>
        <w:tc>
          <w:tcPr>
            <w:tcW w:type="dxa" w:w="3350"/>
            <w:shd w:fill="F3F6FF" w:color="auto" w:val="clear"/>
            <w:tcMar>
              <w:top w:type="dxa" w:w="60"/>
              <w:left w:type="dxa" w:w="90"/>
              <w:bottom w:type="dxa" w:w="60"/>
              <w:right w:type="dxa" w:w="90"/>
            </w:tcMar>
            <w:vAlign w:val="center"/>
          </w:tcPr>
          <w:p>
            <w:r>
              <w:rPr>
                <w:rFonts w:ascii="Calibri" w:cs="Calibri" w:eastAsia="Calibri" w:hAnsi="Calibri"/>
                <w:color w:val="1B1E23"/>
                <w:sz w:val="20"/>
                <w:szCs w:val="20"/>
              </w:rPr>
              <w:t xml:space="preserve"/>
            </w:r>
          </w:p>
        </w:tc>
        <w:tc>
          <w:tcPr>
            <w:tcW w:type="dxa" w:w="1150"/>
            <w:shd w:fill="F3F6FF" w:color="auto" w:val="clear"/>
            <w:tcMar>
              <w:top w:type="dxa" w:w="60"/>
              <w:left w:type="dxa" w:w="90"/>
              <w:bottom w:type="dxa" w:w="60"/>
              <w:right w:type="dxa" w:w="90"/>
            </w:tcMar>
            <w:vAlign w:val="center"/>
          </w:tcPr>
          <w:p>
            <w:r>
              <w:rPr>
                <w:rFonts w:ascii="Calibri" w:cs="Calibri" w:eastAsia="Calibri" w:hAnsi="Calibri"/>
                <w:color w:val="1B1E23"/>
                <w:sz w:val="20"/>
                <w:szCs w:val="20"/>
              </w:rPr>
              <w:t xml:space="preserve"/>
            </w:r>
          </w:p>
        </w:tc>
        <w:tc>
          <w:tcPr>
            <w:tcW w:type="dxa" w:w="750"/>
            <w:shd w:fill="F3F6FF" w:color="auto" w:val="clear"/>
            <w:tcMar>
              <w:top w:type="dxa" w:w="60"/>
              <w:left w:type="dxa" w:w="90"/>
              <w:bottom w:type="dxa" w:w="60"/>
              <w:right w:type="dxa" w:w="90"/>
            </w:tcMar>
            <w:vAlign w:val="center"/>
          </w:tcPr>
          <w:p>
            <w:pPr>
              <w:jc w:val="center"/>
            </w:pPr>
            <w:r>
              <w:rPr>
                <w:rFonts w:ascii="Calibri" w:cs="Calibri" w:eastAsia="Calibri" w:hAnsi="Calibri"/>
                <w:b/>
                <w:bCs/>
                <w:color w:val="1B1E23"/>
                <w:sz w:val="20"/>
                <w:szCs w:val="20"/>
              </w:rPr>
              <w:t xml:space="preserve">100%</w:t>
            </w:r>
          </w:p>
        </w:tc>
        <w:tc>
          <w:tcPr>
            <w:tcW w:type="dxa" w:w="1600"/>
            <w:shd w:fill="F3F6FF" w:color="auto" w:val="clear"/>
            <w:tcMar>
              <w:top w:type="dxa" w:w="60"/>
              <w:left w:type="dxa" w:w="90"/>
              <w:bottom w:type="dxa" w:w="60"/>
              <w:right w:type="dxa" w:w="90"/>
            </w:tcMar>
            <w:vAlign w:val="center"/>
          </w:tcPr>
          <w:p>
            <w:pPr>
              <w:jc w:val="right"/>
            </w:pPr>
            <w:r>
              <w:rPr>
                <w:rFonts w:ascii="Calibri" w:cs="Calibri" w:eastAsia="Calibri" w:hAnsi="Calibri"/>
                <w:b/>
                <w:bCs/>
                <w:color w:val="1B1E23"/>
                <w:sz w:val="20"/>
                <w:szCs w:val="20"/>
              </w:rPr>
              <w:t xml:space="preserve">₹50,00,000</w:t>
            </w:r>
          </w:p>
        </w:tc>
      </w:tr>
    </w:tbl>
    <w:p>
      <w:pPr>
        <w:spacing w:after="120" w:before="80" w:line="276"/>
      </w:pPr>
      <w:r>
        <w:rPr>
          <w:rFonts w:ascii="Calibri" w:cs="Calibri" w:eastAsia="Calibri" w:hAnsi="Calibri"/>
          <w:i/>
          <w:iCs/>
          <w:color w:val="5B6470"/>
          <w:sz w:val="19"/>
          <w:szCs w:val="19"/>
        </w:rPr>
        <w:t xml:space="preserve">All amounts exclusive of GST. Timeline runs from the mobilization advance and Client readiness per clauses 4–6.</w:t>
      </w:r>
    </w:p>
    <w:p>
      <w:pPr>
        <w:spacing w:after="240"/>
      </w:pPr>
    </w:p>
    <w:p>
      <w:pPr>
        <w:pStyle w:val="Heading1"/>
        <w:spacing w:after="120" w:before="260"/>
      </w:pPr>
      <w:r>
        <w:rPr>
          <w:rFonts w:ascii="Calibri" w:cs="Calibri" w:eastAsia="Calibri" w:hAnsi="Calibri"/>
          <w:b/>
          <w:bCs/>
          <w:color w:val="3770BF"/>
          <w:sz w:val="28"/>
          <w:szCs w:val="28"/>
        </w:rPr>
        <w:t xml:space="preserve">Signatures</w:t>
      </w:r>
    </w:p>
    <w:tbl>
      <w:tblPr>
        <w:tblW w:type="dxa" w:w="9000"/>
        <w:tblBorders>
          <w:top w:val="single" w:color="DDE3EE" w:sz="4"/>
          <w:left w:val="single" w:color="DDE3EE" w:sz="4"/>
          <w:bottom w:val="single" w:color="DDE3EE" w:sz="4"/>
          <w:right w:val="single" w:color="DDE3EE" w:sz="4"/>
          <w:insideH w:val="single" w:color="DDE3EE" w:sz="4"/>
          <w:insideV w:val="single" w:color="DDE3EE" w:sz="4"/>
        </w:tblBorders>
      </w:tblPr>
      <w:tblGrid>
        <w:gridCol w:w="4500"/>
        <w:gridCol w:w="4500"/>
      </w:tblGrid>
      <w:tr>
        <w:tc>
          <w:tcPr>
            <w:tcW w:type="dxa" w:w="4500"/>
            <w:tcMar>
              <w:top w:type="dxa" w:w="60"/>
              <w:left w:type="dxa" w:w="90"/>
              <w:bottom w:type="dxa" w:w="60"/>
              <w:right w:type="dxa" w:w="90"/>
            </w:tcMar>
            <w:vAlign w:val="center"/>
          </w:tcPr>
          <w:p>
            <w:pPr>
              <w:spacing w:after="0" w:before="0" w:line="276"/>
            </w:pPr>
            <w:r>
              <w:rPr>
                <w:rFonts w:ascii="Calibri" w:cs="Calibri" w:eastAsia="Calibri" w:hAnsi="Calibri"/>
                <w:color w:val="1B1E23"/>
                <w:sz w:val="21"/>
                <w:szCs w:val="21"/>
              </w:rPr>
              <w:t xml:space="preserve">For PropWeb</w:t>
            </w:r>
          </w:p>
          <w:p>
            <w:pPr>
              <w:spacing w:after="2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Name: [CEO name]</w:t>
            </w:r>
          </w:p>
          <w:p>
            <w:pPr>
              <w:spacing w:after="0" w:before="0" w:line="276"/>
            </w:pPr>
            <w:r>
              <w:rPr>
                <w:rFonts w:ascii="Calibri" w:cs="Calibri" w:eastAsia="Calibri" w:hAnsi="Calibri"/>
                <w:color w:val="5B6470"/>
                <w:sz w:val="21"/>
                <w:szCs w:val="21"/>
              </w:rPr>
              <w:t xml:space="preserve">Title: Co-founder &amp; CEO</w:t>
            </w:r>
          </w:p>
          <w:p>
            <w:pPr>
              <w:spacing w:after="0" w:before="0" w:line="276"/>
            </w:pPr>
            <w:r>
              <w:rPr>
                <w:rFonts w:ascii="Calibri" w:cs="Calibri" w:eastAsia="Calibri" w:hAnsi="Calibri"/>
                <w:color w:val="5B6470"/>
                <w:sz w:val="21"/>
                <w:szCs w:val="21"/>
              </w:rPr>
              <w:t xml:space="preserve">Date: ____________</w:t>
            </w:r>
          </w:p>
        </w:tc>
        <w:tc>
          <w:tcPr>
            <w:tcW w:type="dxa" w:w="4500"/>
            <w:tcMar>
              <w:top w:type="dxa" w:w="60"/>
              <w:left w:type="dxa" w:w="90"/>
              <w:bottom w:type="dxa" w:w="60"/>
              <w:right w:type="dxa" w:w="90"/>
            </w:tcMar>
            <w:vAlign w:val="center"/>
          </w:tcPr>
          <w:p>
            <w:pPr>
              <w:spacing w:after="0" w:before="0" w:line="276"/>
            </w:pPr>
            <w:r>
              <w:rPr>
                <w:rFonts w:ascii="Calibri" w:cs="Calibri" w:eastAsia="Calibri" w:hAnsi="Calibri"/>
                <w:color w:val="1B1E23"/>
                <w:sz w:val="21"/>
                <w:szCs w:val="21"/>
              </w:rPr>
              <w:t xml:space="preserve">For Trinetry Private Limited</w:t>
            </w:r>
          </w:p>
          <w:p>
            <w:pPr>
              <w:spacing w:after="260"/>
            </w:pPr>
          </w:p>
          <w:p>
            <w:pPr>
              <w:spacing w:after="0" w:before="0" w:line="276"/>
            </w:pPr>
            <w:r>
              <w:rPr>
                <w:rFonts w:ascii="Calibri" w:cs="Calibri" w:eastAsia="Calibri" w:hAnsi="Calibri"/>
                <w:color w:val="1B1E23"/>
                <w:sz w:val="21"/>
                <w:szCs w:val="21"/>
              </w:rPr>
              <w:t xml:space="preserve">_______________________</w:t>
            </w:r>
          </w:p>
          <w:p>
            <w:pPr>
              <w:spacing w:after="0" w:before="0" w:line="276"/>
            </w:pPr>
            <w:r>
              <w:rPr>
                <w:rFonts w:ascii="Calibri" w:cs="Calibri" w:eastAsia="Calibri" w:hAnsi="Calibri"/>
                <w:color w:val="5B6470"/>
                <w:sz w:val="21"/>
                <w:szCs w:val="21"/>
              </w:rPr>
              <w:t xml:space="preserve">Name: Yogesh</w:t>
            </w:r>
          </w:p>
          <w:p>
            <w:pPr>
              <w:spacing w:after="0" w:before="0" w:line="276"/>
            </w:pPr>
            <w:r>
              <w:rPr>
                <w:rFonts w:ascii="Calibri" w:cs="Calibri" w:eastAsia="Calibri" w:hAnsi="Calibri"/>
                <w:color w:val="5B6470"/>
                <w:sz w:val="21"/>
                <w:szCs w:val="21"/>
              </w:rPr>
              <w:t xml:space="preserve">Title: Director</w:t>
            </w:r>
          </w:p>
          <w:p>
            <w:pPr>
              <w:spacing w:after="0" w:before="0" w:line="276"/>
            </w:pPr>
            <w:r>
              <w:rPr>
                <w:rFonts w:ascii="Calibri" w:cs="Calibri" w:eastAsia="Calibri" w:hAnsi="Calibri"/>
                <w:color w:val="5B6470"/>
                <w:sz w:val="21"/>
                <w:szCs w:val="21"/>
              </w:rPr>
              <w:t xml:space="preserve">Date: ____________</w:t>
            </w:r>
          </w:p>
        </w:tc>
      </w:tr>
    </w:tbl>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E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PropWeb × Trinetry — Master Services Agreement</dc:title>
  <dc:creator>PropWeb</dc:creator>
  <cp:lastModifiedBy>Un-named</cp:lastModifiedBy>
  <cp:revision>1</cp:revision>
  <dcterms:created xsi:type="dcterms:W3CDTF">2026-07-20T07:03:30.305Z</dcterms:created>
  <dcterms:modified xsi:type="dcterms:W3CDTF">2026-07-20T07:03:30.305Z</dcterms:modified>
</cp:coreProperties>
</file>

<file path=docProps/custom.xml><?xml version="1.0" encoding="utf-8"?>
<Properties xmlns="http://schemas.openxmlformats.org/officeDocument/2006/custom-properties" xmlns:vt="http://schemas.openxmlformats.org/officeDocument/2006/docPropsVTypes"/>
</file>