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40"/>
          <w:szCs w:val="40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9"/>
          <w:szCs w:val="19"/>
        </w:rPr>
        <w:t xml:space="preserve">Orlando, FL | zach@cryptozach.com | 321-236-2261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cryptozach.com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9"/>
          <w:szCs w:val="19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9"/>
            <w:szCs w:val="19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3"/>
          <w:szCs w:val="23"/>
        </w:rPr>
        <w:t xml:space="preserve">STABLECOIN, TOKENIZATION &amp; PAYMENTS STRATEGY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SUMMARY</w:t>
      </w:r>
    </w:p>
    <w:p>
      <w:pPr>
        <w:spacing w:after="38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Stablecoin and tokenization strategist with experience advising 100+ tokenization engagements across stablecoin issuers, tokenized real-world assets, and lending platforms. Founding research hire at Borderless Capital (a registered investment adviser), where I built the research function from scratch and supported underwriting across ~250 investments and ~$500M in assets under management. Specializes in reserve custody, redemption architecture, settlement design, and portability risk across providers and networks. Seven-paper research program (four on SSRN), with work submitted to the Federal Reserve’s Fifth Conference on the Dollar’s International Roles (June 2026).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EXPERIENCE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Senior Investment Analyst, Digital Assets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Borderless Capital (RIA; first hire)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Dec 2019 – Present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Advised on 100+ tokenization engagements across stablecoin issuers, tokenized real-world assets, and lending platforms: reserve architecture, incentive design, launch-readiness standards, and regulatory surface mapping.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Led diligence on stablecoin and tokenization settlement infrastructure: reserve custody and composition, redemption pathways and service-level agreements, settlement finality, concentration and portability risk, and stress-episode behavior across issuers, custodians, and settlement banks.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Translated regulatory change (GENIUS Act, CLARITY Act, state licensing frameworks) into concrete product, reserve, routing, and compliance decisions. Research on how payment stablecoins, tokenized deposits, and yield-bearing wrappers (tokenized money-market funds, T-bill strategies) each inherit distinct regulatory perimeters informs product design, compliance architecture, and go-to-market strategy.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Developed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CLII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classifying regulatory intensity (custody segregation, reconciliation integrity, and concentration risk), and the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MVEP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framework defining nine categories of institutional tokenization diligence. Both published on SSRN.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automated monitoring for tokenization products from SEC filings and press releases; analyzed ~75 tokenization offerings in 2025 and invested in 18. Built AI-assisted diligence workflows reducing subscription-document review time from ~4 hours to ~1 hour per deal.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quantitative token-economic models forecasting emissions, fee capture, subsidy-to-revenue trajectories, and governance concentration under wide scenario ranges. Modeled token supply equilibrium (burn-mint dynamics), adaptive feedback emission controllers, and penalty-driven token destruction (slashing) to guide mechanism design and advisory with leading Layer 1 teams.</w:t>
      </w:r>
    </w:p>
    <w:p>
      <w:pPr>
        <w:spacing w:after="36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Built the firm’s research function from scratch and led a four-analyst team producing ~25 long-form publications annually. Supported underwriting across ~250 investments (~$500M AUM, ~10 funds). Led 9 accelerator programs (~75 teams taught); served on a Uniswap Foundation governance committee (2024); ETHDenver pitch judge.</w:t>
      </w:r>
    </w:p>
    <w:p>
      <w:pPr>
        <w:tabs>
          <w:tab w:val="right" w:pos="10320"/>
        </w:tabs>
        <w:spacing w:after="28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Analyst Intern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Greenway Solutions (USAA)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May – Sep 2016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Benchmarked USAA fraud controls across online, mobile, and call-center channels versus 9 peer U.S. banks; delivered recommendations on funds-availability, wire-transfer, and identity-verification controls.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SELECTED RESEARCH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Routing the Dollar.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Submitted, Fed Reserve Board / FRBNY, June 2026.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gateway infrastructure concentrates control, routes settlement, and determines operator accountability under stress.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Dollar v3 / The Control Layer War.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Published.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How CLARITY and GENIUS provisions concentrate value and liability at the control layer operators build.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Minimum Viable Equivalence Packs.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The institutional diligence standard operators must clear before tokenized products reach committee.</w:t>
      </w:r>
    </w:p>
    <w:p>
      <w:pPr>
        <w:spacing w:after="28"/>
        <w:ind w:left="320" w:hanging="160"/>
      </w:pPr>
      <w:r>
        <w:rPr>
          <w:rFonts w:ascii="Arial" w:cs="Arial" w:eastAsia="Arial" w:hAnsi="Arial"/>
          <w:color w:val="1A1A1A"/>
          <w:sz w:val="19"/>
          <w:szCs w:val="19"/>
        </w:rPr>
        <w:t xml:space="preserve">• </w:t>
      </w: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Adaptive Tokenomics.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 SSRN.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Systems-engineering design laboratory stress-tested with 240-run Monte Carlo ensemble across four adversarial scenarios. Adaptive emissions as tail-risk insurance; slashing dominates supply during bootstrapping.</w:t>
      </w:r>
    </w:p>
    <w:p>
      <w:pPr>
        <w:pBdr>
          <w:bottom w:val="single" w:color="AAAAAA" w:sz="3" w:space="1"/>
        </w:pBdr>
        <w:spacing w:before="125" w:after="42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TECHNICAL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Methods: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Agent-based Monte Carlo simulation, adaptive feedback control systems, token supply equilibrium modeling, concentration and scenario analysis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Data: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Dune Analytics, Nansen Pro, Artemis, DefiLlama, CoinGecko, Helius, Spacescope, SEC filing monitoring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Languages: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Python (pandas, statsmodels, scipy, matplotlib), SQL (DuneSQL, Trino), JavaScript/TypeScript, Excel</w:t>
      </w:r>
    </w:p>
    <w:p>
      <w:pPr>
        <w:spacing w:after="22"/>
      </w:pPr>
      <w:r>
        <w:rPr>
          <w:rFonts w:ascii="Arial" w:cs="Arial" w:eastAsia="Arial" w:hAnsi="Arial"/>
          <w:b/>
          <w:bCs/>
          <w:color w:val="1A1A1A"/>
          <w:sz w:val="18"/>
          <w:szCs w:val="18"/>
        </w:rPr>
        <w:t xml:space="preserve">Infrastructure: </w:t>
      </w:r>
      <w:r>
        <w:rPr>
          <w:rFonts w:ascii="Arial" w:cs="Arial" w:eastAsia="Arial" w:hAnsi="Arial"/>
          <w:color w:val="1A1A1A"/>
          <w:sz w:val="18"/>
          <w:szCs w:val="18"/>
        </w:rPr>
        <w:t xml:space="preserve">10 custom Python MCP servers for real-time data feeds, Claude Code, Cursor, n8n, Apify, Git/GitHub</w:t>
      </w:r>
    </w:p>
    <w:p>
      <w:pPr>
        <w:pBdr>
          <w:bottom w:val="single" w:color="AAAAAA" w:sz="3" w:space="1"/>
        </w:pBdr>
        <w:spacing w:before="130" w:after="45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High Point University</w:t>
      </w:r>
      <w:r>
        <w:rPr>
          <w:rFonts w:ascii="Arial" w:cs="Arial" w:eastAsia="Arial" w:hAnsi="Arial"/>
          <w:color w:val="1A1A1A"/>
          <w:sz w:val="19"/>
          <w:szCs w:val="19"/>
        </w:rPr>
        <w:t xml:space="preserve"> | B.S.B.A., Business Administration (Magna Cum Laude)</w:t>
      </w:r>
      <w:r>
        <w:rPr>
          <w:rFonts w:ascii="Arial" w:cs="Arial" w:eastAsia="Arial" w:hAnsi="Arial"/>
          <w:sz w:val="19"/>
          <w:szCs w:val="19"/>
        </w:rPr>
        <w:t xml:space="preserve">	</w:t>
      </w:r>
      <w:r>
        <w:rPr>
          <w:rFonts w:ascii="Arial" w:cs="Arial" w:eastAsia="Arial" w:hAnsi="Arial"/>
          <w:i/>
          <w:iCs/>
          <w:color w:val="666666"/>
          <w:sz w:val="19"/>
          <w:szCs w:val="19"/>
        </w:rPr>
        <w:t xml:space="preserve">2018</w:t>
      </w:r>
    </w:p>
    <w:p>
      <w:pPr>
        <w:spacing w:after="0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Investment Club President | Lingnan University, Hong Kong (Exchange)</w:t>
      </w:r>
    </w:p>
    <w:sectPr>
      <w:pgSz w:w="12240" w:h="15840" w:orient="portrait"/>
      <w:pgMar w:top="560" w:right="960" w:bottom="440" w:left="9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cryptozach.com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7810362" TargetMode="External"/><Relationship Id="rId9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