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TOKENIZED-PRODUCT INVESTMENT MANAGEMENT · DUE DILIGENCE · PORTFOLIO STRATEGY</w:t>
      </w:r>
    </w:p>
    <w:p>
      <w:pPr>
        <w:spacing w:after="10"/>
        <w:jc w:val="center"/>
      </w:pPr>
      <w:r>
        <w:rPr>
          <w:b w:val="0"/>
          <w:i w:val="0"/>
          <w:sz w:val="18"/>
        </w:rPr>
        <w:t>· ~$500M AUM · 250 investments (~25% deployment rate) · ~75 DATs analyzed, 18 invested · LayerZero seed (~80x) · 8 SSRN papers · 13 federal comment letters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9"/>
          <w:szCs w:val="19"/>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1">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FRAMEWORKS AUTHORED</w:t>
      </w:r>
    </w:p>
    <w:p>
      <w:pPr>
        <w:spacing w:after="36"/>
        <w:ind w:left="320" w:hanging="160"/>
      </w:pPr>
      <w:r>
        <w:t>• Control Layer Intensity Index (</w:t>
      </w:r>
      <w:hyperlink r:id="rId26">
        <w:r>
          <w:rPr>
            <w:rStyle w:val="Hyperlink"/>
          </w:rPr>
          <w:t xml:space="preserve">CLII</w:t>
        </w:r>
      </w:hyperlink>
      <w:r>
        <w:t>), Minimum Viable Equivalence Pack (</w:t>
      </w:r>
      <w:hyperlink r:id="rId27">
        <w:r>
          <w:rPr>
            <w:rStyle w:val="Hyperlink"/>
          </w:rPr>
          <w:t xml:space="preserve">MVEP</w:t>
        </w:r>
      </w:hyperlink>
      <w:r>
        <w:t>), MVEP-gated Conditional Pass-Through (</w:t>
      </w:r>
      <w:hyperlink r:id="rId28">
        <w:r>
          <w:rPr>
            <w:rStyle w:val="Hyperlink"/>
          </w:rPr>
          <w:t xml:space="preserve">MGCPT</w:t>
        </w:r>
      </w:hyperlink>
      <w:r>
        <w:t xml:space="preserve">; </w:t>
      </w:r>
      <w:hyperlink r:id="rId15">
        <w:r>
          <w:rPr>
            <w:rStyle w:val="Hyperlink"/>
          </w:rPr>
          <w:t xml:space="preserve">AG19 Rec 7</w:t>
        </w:r>
      </w:hyperlink>
      <w:r>
        <w:t>), Three-Category Reserve Disclosure (</w:t>
      </w:r>
      <w:hyperlink r:id="rId29">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okenized-equity/" TargetMode="External"/><Relationship Id="rId26" Type="http://schemas.openxmlformats.org/officeDocument/2006/relationships/hyperlink" Target="https://tokenization.systems/frameworks/#clii" TargetMode="External"/><Relationship Id="rId27" Type="http://schemas.openxmlformats.org/officeDocument/2006/relationships/hyperlink" Target="https://tokenization.systems/frameworks/#mvep" TargetMode="External"/><Relationship Id="rId28" Type="http://schemas.openxmlformats.org/officeDocument/2006/relationships/hyperlink" Target="https://tokenization.systems/frameworks/#mgcpt" TargetMode="External"/><Relationship Id="rId29"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