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 AUM · 250 investments (~25% deployment rate) · 1,000+ deals evaluated · LayerZero seed (~80x)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