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OPERATIONAL RISK · SCENARIO MODELING · TOKEN-ECONOMIC MODELING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74⁠-⁠vector risk taxonomy · 240⁠-⁠scenario Monte Carlo · 8 SSRN papers · ~$500M AUM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Operational risk and scenario-modeling strategist. In Dec 2023 authored a 10-step scenario-modeling memo predicting Thorchain's eventual $200M insolvency in a protocol whose token had peaked at $3.3B market cap; predicted failure mode materialized in Jan 2025 (13 months later); the firm held no exposure. Founding research hire at Borderless Capital (RIA, Dec 2019 to Feb 2026); built quantitative token-economic models forecasting emissions, fee capture, subsidy-to-revenue trajectories, and governance concentration under wide scenario ranges. Now founder of Tokenization Systems (Feb 2026 to present); published Operational Risk in Token Economies (74-vector taxonomy mapped to 64 testable controls and 31 program objectives across a 624-scenario simulation battery; Lido V3 staking-vault production case study) and Adaptive Tokenomics (industrial-control-engineering PID controller; 240-scenario Monte Carlo; ~6x worst-case supply-volatility compression under competitor-shock attack). Contributed eight federal regulatory comment letters across stablecoin and banking dockets.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r>
        <w:rPr>
          <w:b/>
        </w:rPr>
        <w:t>Control Layer Intensity Index</w:t>
      </w:r>
      <w:r>
        <w:t xml:space="preserve"> (CLII) for gateway concentration, the </w:t>
      </w:r>
      <w:r>
        <w:rPr>
          <w:b/>
        </w:rPr>
        <w:t>Minimum Viable Equivalence Pack</w:t>
      </w:r>
      <w:r>
        <w:t xml:space="preserve"> (MVEP) for institutional tokenization diligence, programmable monetary-policy design (</w:t>
      </w:r>
      <w:hyperlink r:id="rId6">
        <w:r>
          <w:rPr>
            <w:rStyle w:val="Hyperlink"/>
            <w:b/>
          </w:rPr>
          <w:t xml:space="preserve">Adaptive Tokenomics</w:t>
        </w:r>
      </w:hyperlink>
      <w:r>
        <w:t>), governance concentration, and operational risk in token economies.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7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8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0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1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2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3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4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5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6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7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Capital-markets infrastructure dialogues with Circle and Ubyx on stablecoin and deposit-token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8">
        <w:r>
          <w:rPr>
            <w:rStyle w:val="Hyperlink"/>
            <w:b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19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6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17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 w:before="60"/>
      </w:pPr>
      <w:r>
        <w:rPr>
          <w:rFonts w:ascii="Arial" w:cs="Arial" w:eastAsia="Arial" w:hAnsi="Arial"/>
          <w:color w:val="444444"/>
          <w:sz w:val="18"/>
          <w:szCs w:val="18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adaptive-tokenomics/" TargetMode="External"/><Relationship Id="rId7" Type="http://schemas.openxmlformats.org/officeDocument/2006/relationships/hyperlink" Target="https://tokenization.systems/letters/occ-mvep-v4/" TargetMode="External"/><Relationship Id="rId8" Type="http://schemas.openxmlformats.org/officeDocument/2006/relationships/hyperlink" Target="https://tokenization.systems/letters/occ-supplemental/" TargetMode="External"/><Relationship Id="rId10" Type="http://schemas.openxmlformats.org/officeDocument/2006/relationships/hyperlink" Target="https://tokenization.systems/letters/treasury-genius-state-similarity/" TargetMode="External"/><Relationship Id="rId11" Type="http://schemas.openxmlformats.org/officeDocument/2006/relationships/hyperlink" Target="https://tokenization.systems/letters/fdic-ag19-ppsi-activities/" TargetMode="External"/><Relationship Id="rId12" Type="http://schemas.openxmlformats.org/officeDocument/2006/relationships/hyperlink" Target="https://tokenization.systems/letters/fdic-ag20-ppsi-application/" TargetMode="External"/><Relationship Id="rId13" Type="http://schemas.openxmlformats.org/officeDocument/2006/relationships/hyperlink" Target="https://tokenization.systems/letters/fincen-aml-cft/" TargetMode="External"/><Relationship Id="rId14" Type="http://schemas.openxmlformats.org/officeDocument/2006/relationships/hyperlink" Target="https://tokenization.systems/letters/fincen-ofac-ppsi-sanctions/" TargetMode="External"/><Relationship Id="rId15" Type="http://schemas.openxmlformats.org/officeDocument/2006/relationships/hyperlink" Target="https://tokenization.systems/letters/banking-agencies-joint-aml/" TargetMode="External"/><Relationship Id="rId16" Type="http://schemas.openxmlformats.org/officeDocument/2006/relationships/hyperlink" Target="https://tokenization.systems/papers/routing-the-dollar/" TargetMode="External"/><Relationship Id="rId17" Type="http://schemas.openxmlformats.org/officeDocument/2006/relationships/hyperlink" Target="https://tokenization.systems/papers/governance-concentration/" TargetMode="External"/><Relationship Id="rId18" Type="http://schemas.openxmlformats.org/officeDocument/2006/relationships/hyperlink" Target="https://tokenization.systems/papers/operational-risk/" TargetMode="External"/><Relationship Id="rId19" Type="http://schemas.openxmlformats.org/officeDocument/2006/relationships/hyperlink" Target="https://medium.com/borderless-capital/introduction-to-tokenomics-c7af75c09bfe" TargetMode="External"/><Relationship Id="rId20" Type="http://schemas.openxmlformats.org/officeDocument/2006/relationships/hyperlink" Target="https://tokenization.systems/papers/mvep/" TargetMode="External"/><Relationship Id="rId21" Type="http://schemas.openxmlformats.org/officeDocument/2006/relationships/hyperlink" Target="https://tokenization.systems/papers/three-strategies/" TargetMode="External"/><Relationship Id="rId22" Type="http://schemas.openxmlformats.org/officeDocument/2006/relationships/hyperlink" Target="https://tokenization.systems/papers/seven-dollars/" TargetMode="External"/><Relationship Id="rId23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