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DIGITAL ASSET PRODUCT · TOKENIZED MONEY AND PAYMENTS · INSTITUTIONAL DILIGENCE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1,000+ deal funnel · 100 portfolio companies advised 1-on-1 (50+ multi-session) · LayerZero seed (~80x)</w:t>
        <w:br/>
        <w:t xml:space="preserve">· Thorchain $200M insolvency modeled 13 months ahead · 8 SSRN papers · 8 federal comment 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Digital asset product strategist across stablecoin, deposit-token, tokenized-MMF, and on-chain payment products. Founding research hire at Borderless Capital (RIA, Dec 2019 to Feb 2026): sourced the LayerZero seed round (~80x return; thesis preceded the firm's Cross-Chain Ecosystem Fund by two years); predicted Thorchain's $200M insolvency 13 months in advance via 10-step scenario modeling (Dec 2023 internal memo; failure materialized in Jan 2025), underwriting the firm's no-exposure position. Now founder of Tokenization Systems (Feb 2026 to present), an independent research and partner-engagement program. Authored an eight-paper SSRN research program: Control Layer Intensity Index (CLII) for stablecoin gateway and payment-rail concentration; Minimum Viable Equivalence Pack (MVEP) for institutional tokenization diligence; programmable monetary-policy design (Adaptive Tokenomics); governance concentration; operational risk in token economies. Contributed eight comment letters across federal regulatory dockets (OCC bank stablecoin engagement; Treasury GENIUS Act state similarity; FDIC payment-stablecoin reserves and subsidiary issuance; FinCEN AML/CFT and Permitted Payment Stablecoin Issuer (PPSI) sanctions; joint banking AML/CFT).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6">
        <w:r>
          <w:rPr>
            <w:rStyle w:val="Hyperlink"/>
            <w:b/>
          </w:rPr>
          <w:t>Control Layer Intensity Index</w:t>
        </w:r>
      </w:hyperlink>
      <w:r>
        <w:t xml:space="preserve"> (CLII) for stablecoin gateway and payment-rail concentration, the </w:t>
      </w:r>
      <w:hyperlink r:id="rId21">
        <w:r>
          <w:rPr>
            <w:rStyle w:val="Hyperlink"/>
            <w:b/>
          </w:rPr>
          <w:t>Minimum Viable Equivalence Pack</w:t>
        </w:r>
      </w:hyperlink>
      <w:r>
        <w:t xml:space="preserve"> (MVEP) for institutional tokenization diligence, programmable monetary-policy design (</w:t>
      </w:r>
      <w:hyperlink r:id="rId6">
        <w:r>
          <w:rPr>
            <w:rStyle w:val="Hyperlink"/>
            <w:b/>
          </w:rPr>
          <w:t xml:space="preserve">Adaptive Tokenomics</w:t>
        </w:r>
      </w:hyperlink>
      <w:r>
        <w:t xml:space="preserve">), governance concentration, and operational risk in token economies.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7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8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0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1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2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3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4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5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29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PM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 with custody and reporting controls relevant to tokenized payment platforms.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  <w:r/>
    </w:p>
    <w:p>
      <w:pPr>
        <w:spacing w:after="22" w:before="60"/>
      </w:pPr>
      <w:r>
        <w:rPr>
          <w:b/>
        </w:rPr>
        <w:t>Stack: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</w:t>
      </w:r>
      <w:r/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4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5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6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7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8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adaptive-tokenomics/" TargetMode="External"/><Relationship Id="rId7" Type="http://schemas.openxmlformats.org/officeDocument/2006/relationships/hyperlink" Target="https://tokenization.systems/letters/occ-mvep-v4/" TargetMode="External"/><Relationship Id="rId8" Type="http://schemas.openxmlformats.org/officeDocument/2006/relationships/hyperlink" Target="https://tokenization.systems/letters/occ-supplemental/" TargetMode="External"/><Relationship Id="rId10" Type="http://schemas.openxmlformats.org/officeDocument/2006/relationships/hyperlink" Target="https://tokenization.systems/letters/treasury-genius-state-similarity/" TargetMode="External"/><Relationship Id="rId11" Type="http://schemas.openxmlformats.org/officeDocument/2006/relationships/hyperlink" Target="https://tokenization.systems/letters/fdic-ag19-ppsi-activities/" TargetMode="External"/><Relationship Id="rId12" Type="http://schemas.openxmlformats.org/officeDocument/2006/relationships/hyperlink" Target="https://tokenization.systems/letters/fdic-ag20-ppsi-application/" TargetMode="External"/><Relationship Id="rId13" Type="http://schemas.openxmlformats.org/officeDocument/2006/relationships/hyperlink" Target="https://tokenization.systems/letters/fincen-aml-cft/" TargetMode="External"/><Relationship Id="rId14" Type="http://schemas.openxmlformats.org/officeDocument/2006/relationships/hyperlink" Target="https://tokenization.systems/letters/fincen-ofac-ppsi-sanctions/" TargetMode="External"/><Relationship Id="rId15" Type="http://schemas.openxmlformats.org/officeDocument/2006/relationships/hyperlink" Target="https://tokenization.systems/letters/banking-agencies-joint-aml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medium.com/borderless-capital/introduction-to-tokenomics-c7af75c09bfe" TargetMode="External"/><Relationship Id="rId19" Type="http://schemas.openxmlformats.org/officeDocument/2006/relationships/hyperlink" Target="https://tokenization.systems/papers/three-strategies/" TargetMode="External"/><Relationship Id="rId20" Type="http://schemas.openxmlformats.org/officeDocument/2006/relationships/hyperlink" Target="https://tokenization.systems/papers/seven-dollars/" TargetMode="External"/><Relationship Id="rId21" Type="http://schemas.openxmlformats.org/officeDocument/2006/relationships/hyperlink" Target="https://tokenization.systems/papers/mvep/" TargetMode="External"/><Relationship Id="rId22" Type="http://schemas.openxmlformats.org/officeDocument/2006/relationships/hyperlink" Target="https://tokenization.systems/papers/operational-risk/" TargetMode="External"/><Relationship Id="rId23" Type="http://schemas.openxmlformats.org/officeDocument/2006/relationships/hyperlink" Target="https://tokenization.systems/papers/who-burns-the-tokens/" TargetMode="External"/><Relationship Id="rId24" Type="http://schemas.openxmlformats.org/officeDocument/2006/relationships/hyperlink" Target="https://tokenization.systems/frameworks/#clii" TargetMode="External"/><Relationship Id="rId25" Type="http://schemas.openxmlformats.org/officeDocument/2006/relationships/hyperlink" Target="https://tokenization.systems/frameworks/#mvep" TargetMode="External"/><Relationship Id="rId26" Type="http://schemas.openxmlformats.org/officeDocument/2006/relationships/hyperlink" Target="https://tokenization.systems/frameworks/#mgcpt" TargetMode="External"/><Relationship Id="rId27" Type="http://schemas.openxmlformats.org/officeDocument/2006/relationships/hyperlink" Target="https://tokenization.systems/letters/fdic-ag19-ppsi-activities/" TargetMode="External"/><Relationship Id="rId28" Type="http://schemas.openxmlformats.org/officeDocument/2006/relationships/hyperlink" Target="https://tokenization.systems/frameworks/#tcrd" TargetMode="External"/><Relationship Id="rId29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