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w:history="1" r:id="rIdtk3pkbjp0bnea-khivcha">
        <w:r>
          <w:rPr>
            <w:rFonts w:ascii="Arial" w:cs="Arial" w:eastAsia="Arial" w:hAnsi="Arial"/>
            <w:color w:val="2255AA"/>
            <w:sz w:val="18"/>
            <w:szCs w:val="18"/>
          </w:rPr>
          <w:t xml:space="preserve">Tokenization.Systems</w:t>
        </w:r>
      </w:hyperlink>
      <w:r>
        <w:rPr>
          <w:rFonts w:ascii="Arial" w:cs="Arial" w:eastAsia="Arial" w:hAnsi="Arial"/>
          <w:color w:val="444444"/>
          <w:sz w:val="18"/>
          <w:szCs w:val="18"/>
        </w:rPr>
        <w:t xml:space="preserve">  |  </w:t>
      </w:r>
      <w:hyperlink w:history="1" r:id="rIdnnxna0daueqz2sdxissom">
        <w:r>
          <w:rPr>
            <w:rFonts w:ascii="Arial" w:cs="Arial" w:eastAsia="Arial" w:hAnsi="Arial"/>
            <w:color w:val="2255AA"/>
            <w:sz w:val="18"/>
            <w:szCs w:val="18"/>
          </w:rPr>
          <w:t xml:space="preserve">LinkedIn</w:t>
        </w:r>
      </w:hyperlink>
      <w:r>
        <w:rPr>
          <w:rFonts w:ascii="Arial" w:cs="Arial" w:eastAsia="Arial" w:hAnsi="Arial"/>
          <w:color w:val="444444"/>
          <w:sz w:val="18"/>
          <w:szCs w:val="18"/>
        </w:rPr>
        <w:t xml:space="preserve">  |  </w:t>
      </w:r>
      <w:hyperlink w:history="1" r:id="rIdrdmpe-g4zsyvawvrrkisd">
        <w:r>
          <w:rPr>
            <w:rFonts w:ascii="Arial" w:cs="Arial" w:eastAsia="Arial" w:hAnsi="Arial"/>
            <w:color w:val="2255AA"/>
            <w:sz w:val="18"/>
            <w:szCs w:val="18"/>
          </w:rPr>
          <w:t xml:space="preserve">SSRN</w:t>
        </w:r>
      </w:hyperlink>
      <w:r>
        <w:rPr>
          <w:sz w:val="18"/>
          <w:szCs w:val="18"/>
        </w:rPr>
        <w:t xml:space="preserve">  |  </w:t>
      </w:r>
      <w:hyperlink r:id="rId2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15 federal comment letters · FSB AI consultation response</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40" w:before="160"/>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fifteen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tokenization.systems/agent-infrastructu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