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>STABLECOIN OPERATIONAL RISK · SCENARIO MODELING · TOKEN-ECONOMIC MODELING</w:t>
      </w:r>
    </w:p>
    <w:p>
      <w:pPr>
        <w:spacing w:after="10"/>
        <w:jc w:val="center"/>
      </w:pPr>
      <w:r>
        <w:rPr>
          <w:b w:val="0"/>
          <w:i w:val="0"/>
          <w:sz w:val="16"/>
        </w:rPr>
        <w:t>· Digital assets since 2016 (10 years) · 74⁠-⁠vector risk taxonomy · 64 testable controls · 624⁠-⁠scenario simulation battery · Thorchain $200M insolvency modeled 13 months ahead · 8 SSRN papers · 15 federal comment letters</w:t>
        <w:br/>
        <w:t>· 17 USPTO patent applications across 9 families (Canonical⁠-⁠State Architecture for multi⁠-⁠agent AI research)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7"/>
          <w:szCs w:val="17"/>
        </w:rPr>
        <w:t>Ten years in digital assets: independent protocol research from Jul 2016, institutional practice from Dec 2019. Operational and token-economic risk modeler who turns scenario simulation and coalition analysis into pre-failure risk calls and no-exposure positions, from protocol insolvency to governance capture.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Focus: operational risk, token-economic modeling, scenario modeling, stablecoin and tokenization risk · Monte Carlo, difference-in-differences, PID controller design, supply-equilibrium and coalition-power analysis · OCC, FDIC, FinCEN, Treasury GENIUS, 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fifteen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published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Risk Detection &amp; Loss Prevention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Controls &amp; Risk Frameworks</w:t>
      </w:r>
    </w:p>
    <w:p>
      <w:pPr>
        <w:spacing w:after="36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Diligence &amp; Advisory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Blockchain Research Analyst (Independent)</w:t>
      </w:r>
      <w:r>
        <w:t xml:space="preserve"> · Self-Employed</w:t>
      </w:r>
      <w:r>
        <w:tab/>
      </w:r>
      <w:r>
        <w:rPr>
          <w:i/>
        </w:rPr>
        <w:t>Jul 2016 to Present</w:t>
      </w:r>
    </w:p>
    <w:p>
      <w:pPr>
        <w:keepLines/>
        <w:spacing w:after="36"/>
        <w:ind w:left="320" w:hanging="160"/>
      </w:pPr>
      <w:r>
        <w:t>• Independent digital-asset research since Jul 2016, three years before joining Borderless Capital: reviewed 250+ protocol whitepapers, diligenced 1,000+ project and token-offering pitches, consulted 150+ projects on protocol design and tokenomics, and invested in 50+ token offerings.</w:t>
      </w:r>
    </w:p>
    <w:p>
      <w:pPr>
        <w:keepLines/>
        <w:spacing w:after="36"/>
        <w:ind w:left="320" w:hanging="160"/>
      </w:pPr>
      <w:r>
        <w:t>• Hands-on validation across 30+ blockchains under live conditions: liquidity, fees, settlement finality, bridging, governance execution, and custody and security trade-offs. 30+ conferences and bank summits across the U.S., Europe, Asia, and Dubai.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Analyst Intern</w:t>
      </w:r>
      <w:r>
        <w:t xml:space="preserve"> · Greenway Solutions (fraud-control consulting; client: USAA)</w:t>
      </w:r>
      <w:r>
        <w:tab/>
      </w:r>
      <w:r>
        <w:rPr>
          <w:i/>
        </w:rPr>
        <w:t>May to Sep 2016</w:t>
      </w:r>
    </w:p>
    <w:p>
      <w:pPr>
        <w:keepLines/>
        <w:spacing w:after="36"/>
        <w:ind w:left="320" w:hanging="160"/>
      </w:pPr>
      <w:r>
        <w:t>• Benchmarked fraud controls and the security-versus-friction tradeoff across online, mobile, and call-center channels at nine leading U.S. banks: authentication and password-reset controls, account-opening data requirements, and funds-availability and clearing timing; built the scoring framework and delivered the executive summary.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806-run agent-based simulation battery;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Who Controls Agentic Payments?</w:t>
        </w:r>
      </w:hyperlink>
      <w:r>
        <w:t xml:space="preserve"> First control-layer measurement of agentic payments (x402). May 2026 facilitator concentration: Base HHI 6,009 by count and 4,040 by dollar volume; Solana 4,203 and 4,915, all above the 2,500 highly-concentrated threshold at under 14 months of market age.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FSB AI Sound Practices response.</w:t>
        </w:r>
      </w:hyperlink>
      <w:r>
        <w:t xml:space="preserve"> Filed 2026-07-01; the program's first international standard-setter filing. Three practice additions (composition-chain documentation, execution-authority evidence, dependency-concentration monitoring) plus the invited nonbank case study on settlement facilitators.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 Editor-invited submission to the Journal of Financial Regulation.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Published at Frontiers in Blockchain (2026).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7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8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9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30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1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2"/>
      <w:szCs w:val="52"/>
    </w:rPr>
  </w:style>
  <w:style w:type="paragraph" w:styleId="Heading1">
    <w:name w:val="Heading 1"/>
    <w:basedOn w:val="Normal"/>
    <w:next w:val="Normal"/>
    <w:qFormat/>
    <w:rPr>
      <w:color w:val="2E74B5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www.frontiersin.org/journals/blockchain/articles/10.3389/fbloc.2026.1853465/full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agentic-payments-control-layer/" TargetMode="External"/><Relationship Id="rId23" Type="http://schemas.openxmlformats.org/officeDocument/2006/relationships/hyperlink" Target="https://tokenization.systems/letters/fsb-ai-sound-practices/" TargetMode="External"/><Relationship Id="rId24" Type="http://schemas.openxmlformats.org/officeDocument/2006/relationships/hyperlink" Target="https://tokenization.systems/papers/three-strategies/" TargetMode="External"/><Relationship Id="rId25" Type="http://schemas.openxmlformats.org/officeDocument/2006/relationships/hyperlink" Target="https://tokenization.systems/papers/seven-dollars/" TargetMode="External"/><Relationship Id="rId26" Type="http://schemas.openxmlformats.org/officeDocument/2006/relationships/hyperlink" Target="https://tokenization.systems/papers/dollar-v3/" TargetMode="External"/><Relationship Id="rId27" Type="http://schemas.openxmlformats.org/officeDocument/2006/relationships/hyperlink" Target="https://tokenization.systems/papers/who-burns-the-tokens/" TargetMode="External"/><Relationship Id="rId28" Type="http://schemas.openxmlformats.org/officeDocument/2006/relationships/hyperlink" Target="https://tokenization.systems/frameworks/#clii" TargetMode="External"/><Relationship Id="rId29" Type="http://schemas.openxmlformats.org/officeDocument/2006/relationships/hyperlink" Target="https://tokenization.systems/frameworks/#mvep" TargetMode="External"/><Relationship Id="rId30" Type="http://schemas.openxmlformats.org/officeDocument/2006/relationships/hyperlink" Target="https://tokenization.systems/frameworks/#mgcpt" TargetMode="External"/><Relationship Id="rId31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