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~$500M AUM · 250 investments (~25% deployment rate) · ~75 DATs analyzed, 18 invested · LayerZero seed (~80x)</w:t>
        <w:br/>
        <w:t xml:space="preserve">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Tokenization-focused investment management strategist. Founding research hire at Borderless Capital (RIA, Dec 2019 to Feb 2026): sourced the LayerZero seed round (~80x return; thesis preceded the firm's Cross-Chain Ecosystem Fund by two years); led 1,000+ deal pre-seed-to-Series-C funnel; shipped 250 portfolio investments at ~25% deployment rate and ~$500M AUM. Predicted Thorchain's $200M insolvency 13 months in advance via 10-step scenario modeling (Dec 2023 internal memo; failure materialized in Jan 2025), underwriting the firm's no-exposure position. Now founder of Tokenization Systems (Feb 2026 to present), publishing institutional diligence frameworks: Minimum Viable Equivalence Pack (MVEP) for tokenized money-market funds, deposit tokens, payment stablecoins, and yield wrappers; Control Layer Intensity Index (CLII) for stablecoin gateway concentration. Authored eight SSRN papers and contributed eight federal regulatory comment letters across stablecoin and banking dockets. Built apples-to-apples multiple on NAV (mNAV) methodology standardizing DAT cross-issuer comparison; daily mNAV dashboard sources SEC filings and press releases.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spacing w:after="36" w:before="60"/>
        <w:ind w:left="320" w:hanging="160"/>
      </w:pPr>
      <w:r>
        <w:t xml:space="preserve">• Patent-pending cited-research system architecture (USPTO provisional 64/071,767, filed May 2026): graph-indexed substrate of 330 academic sources with nine AI-integration patterns for paper drafting, synthesis, revision-impact analysis, and verbatim quote retrieval. Production engine behind eight SSRN working papers and eight federal comment letters across a 10-day federal-engagement window in April 2026.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1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tokenized-equity/" TargetMode="External"/><Relationship Id="rId31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