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6"/>
          <w:szCs w:val="16"/>
        </w:rPr>
        <w:t>8 federal comment letters · 8 SSRN papers · dialogues across national security think tanks,</w:t>
        <w:br/>
        <w:t xml:space="preserve">securities exchanges, Central Securities Depositories, payments messaging, tier-1 banks, SEC-registered transfer agents · Patent‑pending CSA (USPTO 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6"/>
        </w:rPr>
        <w:t xml:space="preserve">Stablecoin policy strategist and regulatory translator. Authored eight federal regulatory comment letters in 2026 across OCC bank stablecoin engagement, Treasury GENIUS Act state similarity, FDIC payment-stablecoin reserve standards and subsidiary-issuance approvals, FinCEN AML/CFT and PPSI sanctions, and joint banking AML/CFT. Founding research hire at Borderless Capital (RIA, Dec 2019 to Feb 2026), translating GENIUS, CLARITY, Singapore MAS, MiCA, and state money-transmitter / trust-charter regimes into product, reserve, routing, and compliance decisions across U.S., Singapore, Cayman / BVI / Bermuda, and EU.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 Now founder of Tokenization Systems (Feb 2026 to present); published the MVEP institutional diligence framework and CLII gateway concentration index. Predicted Thorchain's $200M insolvency 13 months ahead; sourced the LayerZero seed (~80x) at Borderless. Quantified the 22-to-1 capital gap between money-transmitter and bank chartering at $40B scale (MVEP finding).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t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