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40"/>
          <w:szCs w:val="40"/>
        </w:rPr>
        <w:t xml:space="preserve">Zach Zukowski</w:t>
      </w:r>
    </w:p>
    <w:p>
      <w:pPr>
        <w:spacing w:after="10"/>
        <w:jc w:val="center"/>
      </w:pPr>
      <w:r>
        <w:rPr>
          <w:rFonts w:ascii="Arial" w:cs="Arial" w:eastAsia="Arial" w:hAnsi="Arial"/>
          <w:color w:val="444444"/>
          <w:sz w:val="19"/>
          <w:szCs w:val="19"/>
        </w:rPr>
        <w:t xml:space="preserve">Orlando, FL | Zach@Tokenization.Systems | 407-536-8625</w:t>
      </w:r>
    </w:p>
    <w:p>
      <w:pPr>
        <w:spacing w:after="55"/>
        <w:jc w:val="center"/>
      </w:pPr>
      <w:hyperlink w:history="1" r:id="rIdtk3pkbjp0bnea-khivcha">
        <w:r>
          <w:rPr>
            <w:rFonts w:ascii="Arial" w:cs="Arial" w:eastAsia="Arial" w:hAnsi="Arial"/>
            <w:color w:val="2255AA"/>
            <w:sz w:val="19"/>
            <w:szCs w:val="19"/>
          </w:rPr>
          <w:t xml:space="preserve">Tokenization.Systems</w:t>
        </w:r>
      </w:hyperlink>
      <w:r>
        <w:rPr>
          <w:rFonts w:ascii="Arial" w:cs="Arial" w:eastAsia="Arial" w:hAnsi="Arial"/>
          <w:color w:val="444444"/>
          <w:sz w:val="19"/>
          <w:szCs w:val="19"/>
        </w:rPr>
        <w:t xml:space="preserve">  |  </w:t>
      </w:r>
      <w:hyperlink w:history="1" r:id="rIdnnxna0daueqz2sdxissom">
        <w:r>
          <w:rPr>
            <w:rFonts w:ascii="Arial" w:cs="Arial" w:eastAsia="Arial" w:hAnsi="Arial"/>
            <w:color w:val="2255AA"/>
            <w:sz w:val="19"/>
            <w:szCs w:val="19"/>
          </w:rPr>
          <w:t xml:space="preserve">LinkedIn</w:t>
        </w:r>
      </w:hyperlink>
      <w:r>
        <w:rPr>
          <w:rFonts w:ascii="Arial" w:cs="Arial" w:eastAsia="Arial" w:hAnsi="Arial"/>
          <w:color w:val="444444"/>
          <w:sz w:val="19"/>
          <w:szCs w:val="19"/>
        </w:rPr>
        <w:t xml:space="preserve">  |  </w:t>
      </w:r>
      <w:hyperlink w:history="1" r:id="rIdrdmpe-g4zsyvawvrrkisd">
        <w:r>
          <w:rPr>
            <w:rFonts w:ascii="Arial" w:cs="Arial" w:eastAsia="Arial" w:hAnsi="Arial"/>
            <w:color w:val="2255AA"/>
            <w:sz w:val="19"/>
            <w:szCs w:val="19"/>
          </w:rPr>
          <w:t xml:space="preserve">SSRN</w:t>
        </w:r>
      </w:hyperlink>
    </w:p>
    <w:p>
      <w:pPr>
        <w:spacing w:after="15"/>
        <w:jc w:val="center"/>
      </w:pPr>
      <w:r>
        <w:rPr>
          <w:rFonts w:ascii="Arial" w:cs="Arial" w:eastAsia="Arial" w:hAnsi="Arial"/>
          <w:b/>
          <w:bCs/>
          <w:color w:val="1A1A1A"/>
          <w:sz w:val="23"/>
          <w:szCs w:val="23"/>
        </w:rPr>
        <w:t>AI GOVERNANCE · CONTROL-LAYER ACCOUNTABILITY · DILIGENCE FRAMEWORKS</w:t>
      </w:r>
    </w:p>
    <w:p>
      <w:pPr>
        <w:spacing w:after="10"/>
        <w:jc w:val="center"/>
      </w:pPr>
      <w:r>
        <w:rPr>
          <w:b w:val="0"/>
          <w:i w:val="0"/>
          <w:sz w:val="18"/>
        </w:rPr>
        <w:t>· 22 MCP + API connections · Diligence⁠-⁠doc review 4hr to 1hr</w:t>
        <w:br/>
        <w:t>· 8 SSRN papers · 14 federal comment letters · FSB AI consultation response</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20"/>
          <w:szCs w:val="20"/>
        </w:rPr>
        <w:t xml:space="preserve">SUMMARY</w:t>
      </w:r>
    </w:p>
    <w:p>
      <w:pPr>
        <w:spacing w:after="40" w:before="160"/>
      </w:pPr>
      <w:r>
        <w:rPr>
          <w:rFonts w:ascii="Arial" w:cs="Arial" w:eastAsia="Arial" w:hAnsi="Arial"/>
          <w:color w:val="1A1A1A"/>
          <w:sz w:val="19"/>
          <w:szCs w:val="19"/>
        </w:rPr>
        <w:t>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9"/>
          <w:szCs w:val="19"/>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20"/>
          <w:szCs w:val="20"/>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first international standard-setter filing: </w:t>
      </w:r>
      <w:hyperlink r:id="rId20">
        <w:r>
          <w:rPr>
            <w:rStyle w:val="Hyperlink"/>
          </w:rPr>
          <w:t xml:space="preserve">FSB AI Sound Practices consultation response</w:t>
        </w:r>
      </w:hyperlink>
      <w:r>
        <w:t xml:space="preserve"> (Jul 2026), the first external deployment of the MVEP-AI / CLII-AI operator-accountability stack; </w:t>
      </w:r>
      <w:hyperlink r:id="rId21">
        <w:r>
          <w:rPr>
            <w:rStyle w:val="Hyperlink"/>
          </w:rPr>
          <w:t xml:space="preserve">Routing the Dollar</w:t>
        </w:r>
      </w:hyperlink>
      <w:r>
        <w:t xml:space="preserve"> submitted to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xml:space="preserve">• Advised 100 portfolio companies 1-on-1 on token mechanism design (stablecoin reserves, governance-token allocation and incentive design, yield wrappers, burn/emission dynamics); standards defined in </w:t>
      </w:r>
      <w:hyperlink r:id="rId22">
        <w:r>
          <w:rPr>
            <w:rStyle w:val="Hyperlink"/>
          </w:rPr>
          <w:t xml:space="preserve">Introduction to Tokenomics</w:t>
        </w:r>
      </w:hyperlink>
      <w:r>
        <w:t>.</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spacing w:after="36"/>
        <w:ind w:left="320" w:hanging="160"/>
      </w:pPr>
      <w:r>
        <w:t>• Shipped 250 portfolio investments (~25% deployment rate) across ~10 institutional funds (~$500M AUM) from a 1,000+ deal pre-seed-to-Series-C funnel, with build/partner/hold recommendations to committee.</w:t>
      </w:r>
    </w:p>
    <w:p>
      <w:pPr>
        <w:pageBreakBefore/>
        <w:pBdr>
          <w:bottom w:val="single" w:color="AAAAAA" w:sz="3" w:space="1"/>
        </w:pBdr>
        <w:spacing w:before="280" w:after="120"/>
      </w:pPr>
      <w:r>
        <w:rPr>
          <w:rFonts w:ascii="Arial" w:cs="Arial" w:eastAsia="Arial" w:hAnsi="Arial"/>
          <w:b/>
          <w:bCs/>
          <w:color w:val="1A1A1A"/>
          <w:sz w:val="20"/>
          <w:szCs w:val="20"/>
        </w:rPr>
        <w:t xml:space="preserve">SELECTED RESEARCH</w:t>
      </w:r>
    </w:p>
    <w:p>
      <w:pPr>
        <w:spacing w:after="28"/>
        <w:ind w:left="320" w:hanging="160"/>
      </w:pPr>
      <w:r>
        <w:t xml:space="preserve">• </w:t>
      </w:r>
      <w:r>
        <w:rPr>
          <w:b/>
        </w:rPr>
        <w:t>Canonical-State Architecture.</w:t>
      </w:r>
      <w:r>
        <w:t xml:space="preserve"> Filed sixteen US provisional patent applications in 2026: a five-element coordination system for concurrent AI-agent sessions on a shared version-controlled repository, integrating per-session staging-index isolation, a multi-mode verification engine, a commit-time canonical-state coherence gate, recursive self-validation of discipline codifications, and an operator-confirmed promotion gate; validated across ~9,600 commits and 16 or more parallel AI coding sessions over ~4 months (as of 2026-07-15), with a companion 73-page methodology preprint. The applications extend the architecture to role-routed cross-session coordination, actual-touched-file collision detection, and a self-describing verification registry, plus separate applications for evidence-grounding of AI-generated assessments and cited values.</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8">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1">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Under review at the Journal of Financial Regulation (editor-invited).</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0">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20"/>
          <w:szCs w:val="20"/>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20"/>
          <w:szCs w:val="20"/>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20"/>
          <w:szCs w:val="20"/>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letters/fsb-ai-sound-practices/" TargetMode="External"/><Relationship Id="rId21" Type="http://schemas.openxmlformats.org/officeDocument/2006/relationships/hyperlink" Target="https://tokenization.systems/papers/routing-the-dollar/"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