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w:history="1" r:id="rIdtk3pkbjp0bnea-khivcha">
        <w:r>
          <w:rPr>
            <w:rFonts w:ascii="Arial" w:cs="Arial" w:eastAsia="Arial" w:hAnsi="Arial"/>
            <w:color w:val="2255AA"/>
            <w:sz w:val="17"/>
            <w:szCs w:val="17"/>
          </w:rPr>
          <w:t xml:space="preserve">Tokenization.Systems</w:t>
        </w:r>
      </w:hyperlink>
      <w:r>
        <w:rPr>
          <w:rFonts w:ascii="Arial" w:cs="Arial" w:eastAsia="Arial" w:hAnsi="Arial"/>
          <w:color w:val="444444"/>
          <w:sz w:val="17"/>
          <w:szCs w:val="17"/>
        </w:rPr>
        <w:t xml:space="preserve">  |  </w:t>
      </w:r>
      <w:hyperlink w:history="1" r:id="rIdnnxna0daueqz2sdxissom">
        <w:r>
          <w:rPr>
            <w:rFonts w:ascii="Arial" w:cs="Arial" w:eastAsia="Arial" w:hAnsi="Arial"/>
            <w:color w:val="2255AA"/>
            <w:sz w:val="17"/>
            <w:szCs w:val="17"/>
          </w:rPr>
          <w:t xml:space="preserve">LinkedIn</w:t>
        </w:r>
      </w:hyperlink>
      <w:r>
        <w:rPr>
          <w:rFonts w:ascii="Arial" w:cs="Arial" w:eastAsia="Arial" w:hAnsi="Arial"/>
          <w:color w:val="444444"/>
          <w:sz w:val="17"/>
          <w:szCs w:val="17"/>
        </w:rPr>
        <w:t xml:space="preserve">  |  </w:t>
      </w:r>
      <w:hyperlink w:history="1" r:id="rIdrdmpe-g4zsyvawvrrkisd">
        <w:r>
          <w:rPr>
            <w:rFonts w:ascii="Arial" w:cs="Arial" w:eastAsia="Arial" w:hAnsi="Arial"/>
            <w:color w:val="2255AA"/>
            <w:sz w:val="17"/>
            <w:szCs w:val="17"/>
          </w:rPr>
          <w:t xml:space="preserve">SSRN</w:t>
        </w:r>
      </w:hyperlink>
    </w:p>
    <w:p>
      <w:pPr>
        <w:spacing w:after="15"/>
        <w:jc w:val="center"/>
      </w:pPr>
      <w:r>
        <w:rPr>
          <w:rFonts w:ascii="Arial" w:cs="Arial" w:eastAsia="Arial" w:hAnsi="Arial"/>
          <w:b/>
          <w:bCs/>
          <w:color w:val="1A1A1A"/>
          <w:sz w:val="21"/>
          <w:szCs w:val="21"/>
        </w:rPr>
        <w:t>STABLECOIN POLICY · REGULATORY TRANSLATION · FEDERAL COMMENT LETTERS</w:t>
      </w:r>
    </w:p>
    <w:p>
      <w:pPr>
        <w:spacing w:after="10"/>
        <w:jc w:val="center"/>
      </w:pPr>
      <w:r>
        <w:rPr>
          <w:b w:val="0"/>
          <w:i w:val="0"/>
          <w:sz w:val="17"/>
        </w:rPr>
        <w:t>· 14 federal comment letters · FSB AI consultation response · 8 SSRN papers · Dialogues across national security think tanks, securities exchanges, Central Securities Depositories, payments messaging, tier⁠-⁠1 banks, SEC⁠-⁠registered transfer agents</w:t>
        <w:br/>
        <w:t>· 16 USPTO patent applications across 8 families (Canonical⁠-⁠State Architecture for multi⁠-⁠agent AI research)</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40" w:before="160"/>
      </w:pPr>
      <w:r>
        <w:rPr>
          <w:rFonts w:ascii="Arial" w:cs="Arial" w:eastAsia="Arial" w:hAnsi="Arial"/>
          <w:color w:val="1A1A1A"/>
          <w:sz w:val="17"/>
          <w:szCs w:val="17"/>
        </w:rPr>
        <w:t>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7"/>
          <w:szCs w:val="17"/>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8"/>
          <w:szCs w:val="18"/>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fourteen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MVEP-AI / CLII-AI operator-accountability extensions.</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accepted for publication at Frontiers in Blockchain.</w:t>
      </w:r>
    </w:p>
    <w:p>
      <w:pPr>
        <w:spacing w:after="36"/>
        <w:ind w:left="320" w:hanging="160"/>
      </w:pPr>
      <w:r>
        <w:t xml:space="preserve">• Authored an eight-paper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Led discovery and diligence across a 1,000+ deal investment funnel (pre-seed to Series C); shipped 250 portfolio investments at ~25% deployment rate across ~10 institutional funds (~$500M AUM), with build/partner/hold recommendations to committee.</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xml:space="preserve">• Advised 100 portfolio companies 1-on-1 on token mechanism design (stablecoin reserves, governance-token allocation and incentive design, yield wrappers, burn/emission dynamics); standards defined in </w:t>
      </w:r>
      <w:hyperlink r:id="rId22">
        <w:r>
          <w:rPr>
            <w:rStyle w:val="Hyperlink"/>
          </w:rPr>
          <w:t xml:space="preserve">Introduction to Tokenomics</w:t>
        </w:r>
      </w:hyperlink>
      <w:r>
        <w:t>.</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Under review at the Journal of Financial Regulation (editor-invited).</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3">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1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4">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5">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6">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7">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2">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0">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tokenization.systems/papers/governance-concentration/"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medium.com/borderless-capital/introduction-to-tokenomics-c7af75c09bfe" TargetMode="External"/><Relationship Id="rId23" Type="http://schemas.openxmlformats.org/officeDocument/2006/relationships/hyperlink" Target="https://tokenization.systems/papers/agentic-payments-control-layer/" TargetMode="External"/><Relationship Id="rId24" Type="http://schemas.openxmlformats.org/officeDocument/2006/relationships/hyperlink" Target="https://tokenization.systems/papers/seven-dollars/" TargetMode="External"/><Relationship Id="rId25" Type="http://schemas.openxmlformats.org/officeDocument/2006/relationships/hyperlink" Target="https://tokenization.systems/papers/dollar-v3/" TargetMode="External"/><Relationship Id="rId26" Type="http://schemas.openxmlformats.org/officeDocument/2006/relationships/hyperlink" Target="https://tokenization.systems/papers/three-strategies/" TargetMode="External"/><Relationship Id="rId27" Type="http://schemas.openxmlformats.org/officeDocument/2006/relationships/hyperlink" Target="https://tokenization.systems/papers/who-burns-the-tokens/"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