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5"/>
        </w:rPr>
        <w:t>· Digital assets since 2016 (10 years) · 19 federal comment letters · FSB AI consultation response · 9 SSRN papers · Dialogues across national security think tanks, securities exchanges, Central Securities Depositories, payments messaging, banks, transfer agents</w:t>
        <w:br/>
        <w:t>· 37 USPTO patent applications across 27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19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AI-domain extensions of the Minimum Viable Equivalence Pack and Control Layer Intensity Index (MVEP-AI / CLII-AI).</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published at Frontiers in Blockchain.</w:t>
      </w:r>
    </w:p>
    <w:p>
      <w:pPr>
        <w:spacing w:after="36"/>
        <w:ind w:left="320" w:hanging="160"/>
      </w:pPr>
      <w:r>
        <w:t xml:space="preserve">• Authored a nine-paper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2">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5">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77-skill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www.frontiersin.org/journals/blockchain/articles/10.3389/fbloc.2026.1853465/full"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tokenization.systems/papers/agentic-payments-control-layer/"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hree-strategies/"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