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60"/>
        <w:jc w:val="center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Zach Zukowski</w:t>
      </w:r>
    </w:p>
    <w:p>
      <w:pPr>
        <w:spacing w:after="10" w:before="60"/>
        <w:jc w:val="center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Orlando, FL | Zach@Tokenization.Systems | 407-536-8625</w:t>
      </w:r>
    </w:p>
    <w:p>
      <w:pPr>
        <w:spacing w:after="55" w:before="60"/>
        <w:jc w:val="center"/>
      </w:pPr>
      <w:hyperlink w:history="1" r:id="rIdtk3pkbjp0bnea-khivcha">
        <w:r>
          <w:rPr>
            <w:rFonts w:ascii="Arial" w:cs="Arial" w:eastAsia="Arial" w:hAnsi="Arial"/>
            <w:color w:val="2255AA"/>
            <w:sz w:val="19"/>
            <w:szCs w:val="19"/>
          </w:rPr>
          <w:t xml:space="preserve">Tokenization.Systems</w:t>
        </w:r>
      </w:hyperlink>
      <w:r>
        <w:rPr>
          <w:rFonts w:ascii="Arial" w:cs="Arial" w:eastAsia="Arial" w:hAnsi="Arial"/>
          <w:color w:val="444444"/>
          <w:sz w:val="19"/>
          <w:szCs w:val="19"/>
        </w:rPr>
        <w:t xml:space="preserve">  |  </w:t>
      </w:r>
      <w:hyperlink w:history="1" r:id="rIdnnxna0daueqz2sdxissom">
        <w:r>
          <w:rPr>
            <w:rFonts w:ascii="Arial" w:cs="Arial" w:eastAsia="Arial" w:hAnsi="Arial"/>
            <w:color w:val="2255AA"/>
            <w:sz w:val="19"/>
            <w:szCs w:val="19"/>
          </w:rPr>
          <w:t xml:space="preserve">LinkedIn</w:t>
        </w:r>
      </w:hyperlink>
      <w:r>
        <w:rPr>
          <w:rFonts w:ascii="Arial" w:cs="Arial" w:eastAsia="Arial" w:hAnsi="Arial"/>
          <w:color w:val="444444"/>
          <w:sz w:val="19"/>
          <w:szCs w:val="19"/>
        </w:rPr>
        <w:t xml:space="preserve">  |  </w:t>
      </w:r>
      <w:hyperlink w:history="1" r:id="rIdrdmpe-g4zsyvawvrrkisd">
        <w:r>
          <w:rPr>
            <w:rFonts w:ascii="Arial" w:cs="Arial" w:eastAsia="Arial" w:hAnsi="Arial"/>
            <w:color w:val="2255AA"/>
            <w:sz w:val="19"/>
            <w:szCs w:val="19"/>
          </w:rPr>
          <w:t xml:space="preserve">SSRN</w:t>
        </w:r>
      </w:hyperlink>
    </w:p>
    <w:p>
      <w:pPr>
        <w:spacing w:after="15" w:before="60"/>
        <w:jc w:val="center"/>
      </w:pPr>
      <w:r>
        <w:rPr>
          <w:rFonts w:ascii="Arial" w:cs="Arial" w:eastAsia="Arial" w:hAnsi="Arial"/>
          <w:b/>
          <w:bCs/>
          <w:color w:val="1A1A1A"/>
          <w:sz w:val="23"/>
          <w:szCs w:val="23"/>
        </w:rPr>
        <w:t>BLOCKCHAIN PAYMENTS PRODUCT · TOKENIZATION PLATFORM · STABLECOIN RESEARCH</w:t>
      </w:r>
    </w:p>
    <w:p>
      <w:pPr>
        <w:spacing w:after="10" w:before="60"/>
        <w:jc w:val="center"/>
      </w:pPr>
      <w:r>
        <w:rPr>
          <w:rFonts w:ascii="Arial" w:cs="Arial" w:eastAsia="Arial" w:hAnsi="Arial"/>
          <w:color w:val="444444"/>
          <w:sz w:val="18"/>
          <w:szCs w:val="19"/>
        </w:rPr>
        <w:t>Sourced LayerZero seed (~80x) · 250 investments · ~$500M AUM · 8 SSRN papers · 8 federal comment letters</w:t>
      </w:r>
    </w:p>
    <w:p>
      <w:pPr>
        <w:pBdr>
          <w:bottom w:val="single" w:color="AAAAAA" w:sz="3" w:space="1"/>
        </w:pBdr>
        <w:spacing w:before="280" w:after="1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SUMMARY</w:t>
      </w:r>
    </w:p>
    <w:p>
      <w:pPr>
        <w:spacing w:after="38" w:before="60"/>
      </w:pPr>
      <w:r>
        <w:rPr>
          <w:rFonts w:ascii="Arial" w:cs="Arial" w:eastAsia="Arial" w:hAnsi="Arial"/>
          <w:color w:val="1A1A1A"/>
          <w:sz w:val="19"/>
          <w:szCs w:val="19"/>
        </w:rPr>
        <w:t>Blockchain payments product and tokenization platform strategist. Founding research hire at Borderless Capital (RIA, Dec 2019 to Feb 2026): sourced the LayerZero seed round (~80x return; thesis preceded the firm's Cross-Chain Ecosystem Fund by two years); predicted Thorchain's $200M insolvency 13 months in advance via 10-step scenario modeling (Dec 2023 internal memo; failure materialized in Jan 2025), underwriting the firm's no-exposure position. Now founder of Tokenization Systems (Feb 2026 to present), an independent research and partner-engagement program. Authored an eight-paper SSRN research program: Control Layer Intensity Index (CLII) for stablecoin gateway and payment-rail concentration; Minimum Viable Equivalence Pack (MVEP) for institutional tokenization diligence; programmable monetary-policy design (Adaptive Tokenomics); governance concentration; operational risk in token economies. Contributed eight comment letters across federal regulatory dockets (OCC bank stablecoin engagement; Treasury GENIUS Act state similarity; FDIC payment-stablecoin reserves and subsidiary issuance; FinCEN AML/CFT and PPSI sanctions; joint banking AML/CFT). Capital-markets infrastructure dialogues with Circle and Ubyx on stablecoin and deposit-token deployment.</w:t>
      </w:r>
    </w:p>
    <w:p>
      <w:pPr>
        <w:pBdr>
          <w:bottom w:val="single" w:color="AAAAAA" w:sz="3" w:space="1"/>
        </w:pBdr>
        <w:spacing w:before="280" w:after="1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EXPERIENCE</w:t>
      </w:r>
    </w:p>
    <w:p>
      <w:pPr>
        <w:tabs>
          <w:tab w:val="right" w:pos="10320"/>
        </w:tabs>
        <w:spacing w:after="40" w:before="160"/>
      </w:pPr>
      <w:r>
        <w:rPr>
          <w:b/>
        </w:rPr>
        <w:t>Founder</w:t>
      </w:r>
      <w:r>
        <w:t xml:space="preserve"> · Tokenization Systems</w:t>
      </w:r>
      <w:r>
        <w:tab/>
      </w:r>
      <w:r>
        <w:rPr>
          <w:i/>
        </w:rPr>
        <w:t>Feb 2026 – Present</w:t>
      </w:r>
    </w:p>
    <w:p>
      <w:pPr>
        <w:spacing w:after="36" w:before="60"/>
        <w:ind w:left="320" w:hanging="160"/>
      </w:pPr>
      <w:r>
        <w:t xml:space="preserve">• Authored an eight-paper SSRN-live research program covering the </w:t>
      </w:r>
      <w:hyperlink r:id="rId16">
        <w:r>
          <w:rPr>
            <w:rStyle w:val="Hyperlink"/>
            <w:b/>
          </w:rPr>
          <w:t>Control Layer Intensity Index</w:t>
        </w:r>
      </w:hyperlink>
      <w:r>
        <w:t xml:space="preserve"> (CLII) for stablecoin gateway and payment-rail concentration, the </w:t>
      </w:r>
      <w:hyperlink r:id="rId21">
        <w:r>
          <w:rPr>
            <w:rStyle w:val="Hyperlink"/>
            <w:b/>
          </w:rPr>
          <w:t>Minimum Viable Equivalence Pack</w:t>
        </w:r>
      </w:hyperlink>
      <w:r>
        <w:t xml:space="preserve"> (MVEP) for institutional tokenization diligence, programmable monetary-policy design (</w:t>
      </w:r>
      <w:hyperlink r:id="rId6">
        <w:r>
          <w:rPr>
            <w:rStyle w:val="Hyperlink"/>
            <w:b/>
          </w:rPr>
          <w:t xml:space="preserve">Adaptive Tokenomics</w:t>
        </w:r>
      </w:hyperlink>
      <w:r>
        <w:t>), governance concentration, and operational risk in token economies.</w:t>
      </w:r>
    </w:p>
    <w:p>
      <w:pPr>
        <w:spacing w:after="36" w:before="60"/>
        <w:ind w:left="320" w:hanging="160"/>
      </w:pPr>
      <w:r>
        <w:t xml:space="preserve">• Contributed eight comment letters across a federal regulatory program (OCC bank stablecoin engagement </w:t>
      </w:r>
      <w:hyperlink r:id="rId7">
        <w:r>
          <w:rPr>
            <w:rStyle w:val="Hyperlink"/>
          </w:rPr>
          <w:t xml:space="preserve">RIN 1557-AF41</w:t>
        </w:r>
      </w:hyperlink>
      <w:r>
        <w:t xml:space="preserve"> plus </w:t>
      </w:r>
      <w:hyperlink r:id="rId8">
        <w:r>
          <w:rPr>
            <w:rStyle w:val="Hyperlink"/>
          </w:rPr>
          <w:t xml:space="preserve">supplemental control-layer extension</w:t>
        </w:r>
      </w:hyperlink>
      <w:r>
        <w:t xml:space="preserve">; </w:t>
      </w:r>
      <w:hyperlink r:id="rId10">
        <w:r>
          <w:rPr>
            <w:rStyle w:val="Hyperlink"/>
          </w:rPr>
          <w:t xml:space="preserve">Treasury GENIUS Act state similarity</w:t>
        </w:r>
      </w:hyperlink>
      <w:r>
        <w:t xml:space="preserve">; FDIC payment-stablecoin reserve standards </w:t>
      </w:r>
      <w:hyperlink r:id="rId11">
        <w:r>
          <w:rPr>
            <w:rStyle w:val="Hyperlink"/>
          </w:rPr>
          <w:t xml:space="preserve">RIN 3064-AG19</w:t>
        </w:r>
      </w:hyperlink>
      <w:r>
        <w:t xml:space="preserve"> and stablecoin-subsidiary issuance approvals </w:t>
      </w:r>
      <w:hyperlink r:id="rId12">
        <w:r>
          <w:rPr>
            <w:rStyle w:val="Hyperlink"/>
          </w:rPr>
          <w:t xml:space="preserve">RIN 3064-AG20</w:t>
        </w:r>
      </w:hyperlink>
      <w:r>
        <w:t xml:space="preserve">; FinCEN AML/CFT </w:t>
      </w:r>
      <w:hyperlink r:id="rId13">
        <w:r>
          <w:rPr>
            <w:rStyle w:val="Hyperlink"/>
          </w:rPr>
          <w:t xml:space="preserve">FINCEN-2026-0034</w:t>
        </w:r>
      </w:hyperlink>
      <w:r>
        <w:t xml:space="preserve">; FinCEN-OFAC PPSI sanctions </w:t>
      </w:r>
      <w:hyperlink r:id="rId14">
        <w:r>
          <w:rPr>
            <w:rStyle w:val="Hyperlink"/>
          </w:rPr>
          <w:t xml:space="preserve">FINCEN-2026-0100</w:t>
        </w:r>
      </w:hyperlink>
      <w:r>
        <w:t xml:space="preserve">; joint banking AML/CFT </w:t>
      </w:r>
      <w:hyperlink r:id="rId15">
        <w:r>
          <w:rPr>
            <w:rStyle w:val="Hyperlink"/>
          </w:rPr>
          <w:t xml:space="preserve">91 FR 18304</w:t>
        </w:r>
      </w:hyperlink>
      <w:r>
        <w:t xml:space="preserve">); </w:t>
      </w:r>
      <w:hyperlink r:id="rId16">
        <w:r>
          <w:rPr>
            <w:rStyle w:val="Hyperlink"/>
          </w:rPr>
          <w:t xml:space="preserve">Routing the Dollar</w:t>
        </w:r>
      </w:hyperlink>
      <w:r>
        <w:t xml:space="preserve"> submitted to the Federal Reserve Fifth Conference on the Dollar's International Roles (Jun 2026); </w:t>
      </w:r>
      <w:hyperlink r:id="rId17">
        <w:r>
          <w:rPr>
            <w:rStyle w:val="Hyperlink"/>
          </w:rPr>
          <w:t xml:space="preserve">Governance Concentration</w:t>
        </w:r>
      </w:hyperlink>
      <w:r>
        <w:t xml:space="preserve"> in peer review at Frontiers in Blockchain.</w:t>
      </w:r>
    </w:p>
    <w:p>
      <w:pPr>
        <w:spacing w:after="36" w:before="60"/>
        <w:ind w:left="320" w:hanging="160"/>
      </w:pPr>
      <w:r>
        <w:t>• Capital-markets infrastructure dialogues with Circle and Ubyx on stablecoin and deposit-token deployment.</w:t>
      </w:r>
    </w:p>
    <w:p>
      <w:pPr>
        <w:tabs>
          <w:tab w:val="right" w:pos="10320"/>
        </w:tabs>
        <w:spacing w:after="40" w:before="160"/>
      </w:pPr>
      <w:r>
        <w:rPr>
          <w:b/>
        </w:rPr>
        <w:t>Senior Investment Analyst, Digital Assets</w:t>
      </w:r>
      <w:r>
        <w:t xml:space="preserve"> · Borderless Capital (RIA; first hire)</w:t>
      </w:r>
      <w:r>
        <w:tab/>
      </w:r>
      <w:r>
        <w:rPr>
          <w:i/>
        </w:rPr>
        <w:t>Dec 2019 – Feb 2026</w:t>
      </w:r>
    </w:p>
    <w:p>
      <w:pPr>
        <w:spacing w:after="36" w:before="60"/>
        <w:ind w:left="320" w:hanging="160"/>
      </w:pPr>
      <w:r>
        <w:t xml:space="preserve">• Predicted Thorchain's </w:t>
      </w:r>
      <w:r>
        <w:rPr>
          <w:b/>
        </w:rPr>
        <w:t>$200M insolvency 13 months in advance</w:t>
      </w:r>
      <w:r>
        <w:t>; Borderless held no exposure when the predicted failure mode materialized.</w:t>
      </w:r>
    </w:p>
    <w:p>
      <w:pPr>
        <w:spacing w:after="36" w:before="60"/>
        <w:ind w:left="320" w:hanging="160"/>
      </w:pPr>
      <w:r>
        <w:t xml:space="preserve">• Sourced the </w:t>
      </w:r>
      <w:r>
        <w:rPr>
          <w:b/>
        </w:rPr>
        <w:t>LayerZero seed round</w:t>
      </w:r>
      <w:r>
        <w:t xml:space="preserve"> investment for Borderless, returning ~80x; the underlying cross-chain interoperability thesis preceded the firm's Cross-Chain Ecosystem Fund by two years.</w:t>
      </w:r>
    </w:p>
    <w:p>
      <w:pPr>
        <w:spacing w:after="36" w:before="60"/>
        <w:ind w:left="320" w:hanging="160"/>
      </w:pPr>
      <w:r>
        <w:t>• Identified ~15% misreporting of circulating supply in a top-25 Layer 1 protocol by independently modeling its tokenomics (emission schedule, vesting, burn dynamics); the discrepancy had propagated to CoinMarketCap and CoinGecko, and was corrected after partnering with the protocol's foundation engineers.</w:t>
      </w:r>
    </w:p>
    <w:p>
      <w:pPr>
        <w:spacing w:after="36" w:before="60"/>
        <w:ind w:left="320" w:hanging="160"/>
      </w:pPr>
      <w:r>
        <w:t>• Prevented hostile governance capture on a top-25 blockchain via voting-path simulation under coalition-attack scenarios; surfaced the vulnerability and mitigation route before exploitation.</w:t>
      </w:r>
    </w:p>
    <w:p>
      <w:pPr>
        <w:spacing w:after="36" w:before="60"/>
        <w:ind w:left="320" w:hanging="160"/>
      </w:pPr>
      <w:r>
        <w:t>• Led discovery and diligence across a 1,000+ deal investment funnel (pre-seed to Series C); shipped 250 portfolio investments at ~25% deployment rate across ~10 institutional funds (~$500M AUM), with build/partner/hold recommendations to committee.</w:t>
      </w:r>
    </w:p>
    <w:p>
      <w:pPr>
        <w:spacing w:after="36" w:before="60"/>
        <w:ind w:left="320" w:hanging="160"/>
      </w:pPr>
      <w:r>
        <w:t xml:space="preserve">• Advised 100 portfolio companies 1-on-1 on token mechanism design (stablecoin reserves, governance-token allocation and incentive design, yield wrappers, burn/emission dynamics); standards defined in </w:t>
      </w:r>
      <w:hyperlink r:id="rId18">
        <w:r>
          <w:rPr>
            <w:rStyle w:val="Hyperlink"/>
            <w:b/>
          </w:rPr>
          <w:t xml:space="preserve">Introduction to Tokenomics</w:t>
        </w:r>
      </w:hyperlink>
      <w:r>
        <w:t>.</w:t>
      </w:r>
    </w:p>
    <w:p>
      <w:pPr>
        <w:spacing w:after="36" w:before="60"/>
        <w:ind w:left="320" w:hanging="160"/>
      </w:pPr>
      <w:r>
        <w:t>• Built quantitative token-economic models forecasting emissions, fee capture, subsidy-to-revenue trajectories, and governance concentration under wide scenario ranges; supply-equilibrium and slashing dynamics supporting Layer 1 mechanism-design advisory.</w:t>
      </w:r>
    </w:p>
    <w:p>
      <w:pPr>
        <w:spacing w:after="36" w:before="60"/>
        <w:ind w:left="320" w:hanging="160"/>
      </w:pPr>
      <w:r>
        <w:t>• Translated regulatory change (GENIUS, CLARITY, Singapore MAS, MiCA, state money-transmitter and trust-charter regimes) into product, reserve, routing, and compliance decisions across U.S., Singapore, Cayman / BVI / Bermuda, and EU; coordinated cross-functional partner work spanning Product / Engineering, Risk (operational-risk taxonomy), and Legal.</w:t>
      </w:r>
    </w:p>
    <w:p>
      <w:pPr>
        <w:spacing w:after="36" w:before="60"/>
        <w:ind w:left="320" w:hanging="160"/>
      </w:pPr>
      <w:r>
        <w:t>• Mapped jurisdictional tax / regulatory advantages of DAT structures over direct crypto holding: Japan's Metaplanet DAT cuts crypto capital-gains tax from up to 55% to 20% (equity rate, further reducible via Japan's IRA structure); Hong Kong's Southbound Connect could give mainland Chinese capital regulated access to crypto banned domestically.</w:t>
      </w:r>
    </w:p>
    <w:p>
      <w:pPr>
        <w:pageBreakBefore/>
        <w:pBdr>
          <w:bottom w:val="single" w:color="AAAAAA" w:sz="3" w:space="1"/>
        </w:pBdr>
        <w:spacing w:before="280" w:after="1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SELECTED RESEARCH</w:t>
      </w:r>
    </w:p>
    <w:p>
      <w:pPr>
        <w:spacing w:after="28" w:before="60"/>
        <w:ind w:left="320" w:hanging="160"/>
      </w:pPr>
      <w:r>
        <w:t xml:space="preserve">• </w:t>
      </w:r>
      <w:hyperlink r:id="rId16">
        <w:r>
          <w:rPr>
            <w:rStyle w:val="Hyperlink"/>
            <w:b/>
          </w:rPr>
          <w:t xml:space="preserve">Routing the Dollar.</w:t>
        </w:r>
      </w:hyperlink>
      <w:r>
        <w:t xml:space="preserve"> Submitted to Federal Reserve / FRBNY Fifth Conference on the Dollar's International Roles (Jun 2026). Gateway concentration; CLII across 19 gateways including Visa Direct-adjacent paths.</w:t>
      </w:r>
    </w:p>
    <w:p>
      <w:pPr>
        <w:spacing w:after="28" w:before="60"/>
        <w:ind w:left="320" w:hanging="160"/>
      </w:pPr>
      <w:r>
        <w:t xml:space="preserve">• </w:t>
      </w:r>
      <w:hyperlink r:id="rId19">
        <w:r>
          <w:rPr>
            <w:rStyle w:val="Hyperlink"/>
            <w:b/>
          </w:rPr>
          <w:t xml:space="preserve">Three Tokenization Strategies.</w:t>
        </w:r>
      </w:hyperlink>
      <w:r>
        <w:t xml:space="preserve"> Each of three strategies satisfies different MVEP categories with measurably different strength (Regulated Collateral Circuit, Multi-Issuer Yield Stack, Tokenized Equity Rails); Securitize as cross-strategy concentration risk.</w:t>
      </w:r>
    </w:p>
    <w:p>
      <w:pPr>
        <w:spacing w:after="28" w:before="60"/>
        <w:ind w:left="320" w:hanging="160"/>
      </w:pPr>
      <w:r>
        <w:t xml:space="preserve">• </w:t>
      </w:r>
      <w:hyperlink r:id="rId20">
        <w:r>
          <w:rPr>
            <w:rStyle w:val="Hyperlink"/>
            <w:b/>
          </w:rPr>
          <w:t xml:space="preserve">Seven Dollars.</w:t>
        </w:r>
      </w:hyperlink>
      <w:r>
        <w:t xml:space="preserve"> Cross-product framework for major dollar-denominated digital products; CLII / MVEP decoupling; stress propagation through dependency chains (SVB, Circle pool, Paxos).</w:t>
      </w:r>
    </w:p>
    <w:p>
      <w:pPr>
        <w:spacing w:after="28" w:before="60"/>
        <w:ind w:left="320" w:hanging="160"/>
      </w:pPr>
      <w:r>
        <w:t xml:space="preserve">• </w:t>
      </w:r>
      <w:hyperlink r:id="rId21">
        <w:r>
          <w:rPr>
            <w:rStyle w:val="Hyperlink"/>
            <w:b/>
          </w:rPr>
          <w:t xml:space="preserve">Minimum Viable Equivalence Pack.</w:t>
        </w:r>
      </w:hyperlink>
      <w:r>
        <w:t xml:space="preserve"> Ten-category institutional diligence standard; finds bank-chartered stablecoin issuers face ~22x the regulatory capital requirements of money-transmitter-chartered issuers at $40B scale.</w:t>
      </w:r>
    </w:p>
    <w:p>
      <w:pPr>
        <w:spacing w:after="28" w:before="60"/>
        <w:ind w:left="320" w:hanging="160"/>
      </w:pPr>
      <w:r>
        <w:t xml:space="preserve">• </w:t>
      </w:r>
      <w:hyperlink r:id="rId6">
        <w:r>
          <w:rPr>
            <w:rStyle w:val="Hyperlink"/>
            <w:b/>
          </w:rPr>
          <w:t xml:space="preserve">Adaptive Tokenomics.</w:t>
        </w:r>
      </w:hyperlink>
      <w:r>
        <w:t xml:space="preserve"> Industrial control engineering (PID controller) applied to token-supply emission as programmable monetary-policy mechanism; 240-scenario Monte Carlo simulation; cuts worst-case supply volatility ~6x under competitor-shock attack.</w:t>
      </w:r>
    </w:p>
    <w:p>
      <w:pPr>
        <w:spacing w:after="28" w:before="60"/>
        <w:ind w:left="320" w:hanging="160"/>
      </w:pPr>
      <w:r>
        <w:t xml:space="preserve">• </w:t>
      </w:r>
      <w:hyperlink r:id="rId22">
        <w:r>
          <w:rPr>
            <w:rStyle w:val="Hyperlink"/>
            <w:b/>
          </w:rPr>
          <w:t xml:space="preserve">Operational Risk in Token Economies.</w:t>
        </w:r>
      </w:hyperlink>
      <w:r>
        <w:t xml:space="preserve"> Operational-risk taxonomy (74 risk vectors, 64 testable controls, 31 program objectives) mapped to a 624-scenario battery; Lido V3 staking-vault case study with custody and reporting controls relevant to tokenized payment platforms.</w:t>
      </w:r>
    </w:p>
    <w:p>
      <w:pPr>
        <w:spacing w:after="28" w:before="60"/>
        <w:ind w:left="320" w:hanging="160"/>
      </w:pPr>
      <w:r>
        <w:t xml:space="preserve">• </w:t>
      </w:r>
      <w:hyperlink r:id="rId17">
        <w:r>
          <w:rPr>
            <w:rStyle w:val="Hyperlink"/>
            <w:b/>
          </w:rPr>
          <w:t xml:space="preserve">Governance Concentration Beyond Token Allocation.</w:t>
        </w:r>
      </w:hyperlink>
      <w:r>
        <w:t xml:space="preserve"> In peer review at Frontiers in Blockchain. 40-protocol cross-section: initial token allocation does not predict governance concentration; protocol sector does (DePIN significantly more concentrated than DeFi; Cohen's d = 0.96).</w:t>
      </w:r>
    </w:p>
    <w:p>
      <w:pPr>
        <w:spacing w:after="28" w:before="60"/>
        <w:ind w:left="320" w:hanging="160"/>
      </w:pPr>
      <w:r>
        <w:t xml:space="preserve">• </w:t>
      </w:r>
      <w:hyperlink r:id="rId23">
        <w:r>
          <w:rPr>
            <w:rStyle w:val="Hyperlink"/>
            <w:b/>
          </w:rPr>
          <w:t xml:space="preserve">Who Burns the Tokens?</w:t>
        </w:r>
      </w:hyperlink>
      <w:r>
        <w:t xml:space="preserve"> Burn-mechanism design (carrier contracts vs. subscriptions) drives demand concentration: Helium's carrier-contract model concentrates ~90% of token burns in 5 purchasers (HHI 0.22) despite ~1M hotspots; coalition-power analysis extends standard concentration measures for single-address risk.</w:t>
      </w:r>
    </w:p>
    <w:p>
      <w:pPr>
        <w:pBdr>
          <w:bottom w:val="single" w:color="AAAAAA" w:sz="3" w:space="1"/>
        </w:pBdr>
        <w:spacing w:before="280" w:after="1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TECHNICAL</w:t>
      </w:r>
    </w:p>
    <w:p>
      <w:pPr>
        <w:spacing w:after="22" w:before="60"/>
      </w:pPr>
      <w:r>
        <w:rPr>
          <w:b/>
        </w:rPr>
        <w:t>Methods:</w:t>
      </w:r>
      <w:r>
        <w:t xml:space="preserve"> policy-shock impact estimation (difference-in-differences), Monte Carlo simulation, PID controller design (industrial control engineering), coalition-power analysis, supply equilibrium modeling, build-versus-partner framework design</w:t>
      </w:r>
    </w:p>
    <w:p>
      <w:pPr>
        <w:spacing w:after="22" w:before="60"/>
      </w:pPr>
      <w:r>
        <w:rPr>
          <w:b/>
        </w:rPr>
        <w:t>Data:</w:t>
      </w:r>
      <w:r>
        <w:t xml:space="preserve"> Dune Analytics, Nansen Pro, Artemis, DefiLlama, CoinGecko, Helius (Solana), Spacescope, Blockscout, Token Terminal; automated SEC filing and press release monitoring + data extraction</w:t>
      </w:r>
    </w:p>
    <w:p>
      <w:pPr>
        <w:spacing w:after="22" w:before="60"/>
      </w:pPr>
      <w:r>
        <w:rPr>
          <w:b/>
        </w:rPr>
        <w:t>Stack:</w:t>
      </w:r>
      <w:r>
        <w:t xml:space="preserve"> Python (pandas, statsmodels, scipy, matplotlib), R (fixest, did, synthdid), SQL (DuneSQL, Trino), JavaScript / TypeScript; 14 custom Python MCP servers (FRED, DefiLlama, CoinGecko, Helius, Blockscout, Tally, Dune, Spacescope, Nansen, GitHub) for real-time feeds; Claude.ai + Claude Code + Cursor with 36-skill library and 17-file living-knowledge architecture; n8n, Apify, Git / GitHub</w:t>
      </w:r>
    </w:p>
    <w:p>
      <w:pPr>
        <w:pBdr>
          <w:bottom w:val="single" w:color="AAAAAA" w:sz="3" w:space="1"/>
        </w:pBdr>
        <w:spacing w:before="280" w:after="1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>RECOGNITION</w:t>
      </w:r>
    </w:p>
    <w:p>
      <w:pPr>
        <w:spacing w:after="36" w:before="60"/>
        <w:ind w:left="320" w:hanging="160"/>
      </w:pPr>
      <w:r>
        <w:t>• Uniswap Foundation governance committee (2024)</w:t>
      </w:r>
    </w:p>
    <w:p>
      <w:pPr>
        <w:spacing w:after="36" w:before="60"/>
        <w:ind w:left="320" w:hanging="160"/>
      </w:pPr>
      <w:r>
        <w:t>• ETHDenver pitch judge</w:t>
      </w:r>
    </w:p>
    <w:p>
      <w:pPr>
        <w:spacing w:after="36" w:before="60"/>
        <w:ind w:left="320" w:hanging="160"/>
      </w:pPr>
      <w:r>
        <w:t xml:space="preserve">• </w:t>
      </w:r>
      <w:hyperlink r:id="rId18">
        <w:r>
          <w:rPr>
            <w:rStyle w:val="Hyperlink"/>
            <w:b/>
          </w:rPr>
          <w:t xml:space="preserve">Introduction to Tokenomics</w:t>
        </w:r>
      </w:hyperlink>
      <w:r>
        <w:t xml:space="preserve"> article publicly endorsed by Binance founder CZ on day of publication</w:t>
      </w:r>
    </w:p>
    <w:p>
      <w:pPr>
        <w:pBdr>
          <w:bottom w:val="single" w:color="AAAAAA" w:sz="3" w:space="1"/>
        </w:pBdr>
        <w:spacing w:before="280" w:after="1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EDUCATION</w:t>
      </w:r>
    </w:p>
    <w:p>
      <w:pPr>
        <w:tabs>
          <w:tab w:val="right" w:pos="10320"/>
        </w:tabs>
        <w:spacing w:after="0" w:before="6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High Point University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| B.S.B.A., Business Administration (Magna Cum Laude) · Investment Club President</w:t>
      </w:r>
      <w:r>
        <w:rPr>
          <w:rFonts w:ascii="Arial" w:cs="Arial" w:eastAsia="Arial" w:hAnsi="Arial"/>
          <w:sz w:val="19"/>
          <w:szCs w:val="19"/>
        </w:rPr>
        <w:t xml:space="preserve">	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2018</w:t>
      </w:r>
    </w:p>
    <w:p>
      <w:pPr>
        <w:spacing w:after="0" w:before="60"/>
      </w:pPr>
      <w:r>
        <w:rPr>
          <w:rFonts w:ascii="Arial" w:cs="Arial" w:eastAsia="Arial" w:hAnsi="Arial"/>
          <w:color w:val="444444"/>
          <w:sz w:val="18"/>
          <w:szCs w:val="18"/>
        </w:rPr>
        <w:t>Lingnan University, Hong Kong (Exchange)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tk3pkbjp0bnea-khivcha" Type="http://schemas.openxmlformats.org/officeDocument/2006/relationships/hyperlink" Target="https://tokenization.systems" TargetMode="External"/><Relationship Id="rIdnnxna0daueqz2sdxissom" Type="http://schemas.openxmlformats.org/officeDocument/2006/relationships/hyperlink" Target="https://linkedin.com/in/zachzukowski" TargetMode="External"/><Relationship Id="rIdrdmpe-g4zsyvawvrrkisd" Type="http://schemas.openxmlformats.org/officeDocument/2006/relationships/hyperlink" Target="https://papers.ssrn.com/sol3/cf_dev/AbsByAuth.cfm?per_id=7810362" TargetMode="External"/><Relationship Id="rId9" Type="http://schemas.openxmlformats.org/officeDocument/2006/relationships/fontTable" Target="fontTable.xml"/><Relationship Id="rId6" Type="http://schemas.openxmlformats.org/officeDocument/2006/relationships/hyperlink" Target="https://tokenization.systems/papers/adaptive-tokenomics/" TargetMode="External"/><Relationship Id="rId7" Type="http://schemas.openxmlformats.org/officeDocument/2006/relationships/hyperlink" Target="https://tokenization.systems/letters/occ-mvep-v4/" TargetMode="External"/><Relationship Id="rId8" Type="http://schemas.openxmlformats.org/officeDocument/2006/relationships/hyperlink" Target="https://tokenization.systems/letters/occ-supplemental/" TargetMode="External"/><Relationship Id="rId10" Type="http://schemas.openxmlformats.org/officeDocument/2006/relationships/hyperlink" Target="https://tokenization.systems/letters/treasury-genius-state-similarity/" TargetMode="External"/><Relationship Id="rId11" Type="http://schemas.openxmlformats.org/officeDocument/2006/relationships/hyperlink" Target="https://tokenization.systems/letters/fdic-ag19-ppsi-activities/" TargetMode="External"/><Relationship Id="rId12" Type="http://schemas.openxmlformats.org/officeDocument/2006/relationships/hyperlink" Target="https://tokenization.systems/letters/fdic-ag20-ppsi-application/" TargetMode="External"/><Relationship Id="rId13" Type="http://schemas.openxmlformats.org/officeDocument/2006/relationships/hyperlink" Target="https://tokenization.systems/letters/fincen-aml-cft/" TargetMode="External"/><Relationship Id="rId14" Type="http://schemas.openxmlformats.org/officeDocument/2006/relationships/hyperlink" Target="https://tokenization.systems/letters/fincen-ofac-ppsi-sanctions/" TargetMode="External"/><Relationship Id="rId15" Type="http://schemas.openxmlformats.org/officeDocument/2006/relationships/hyperlink" Target="https://tokenization.systems/letters/banking-agencies-joint-aml/" TargetMode="External"/><Relationship Id="rId16" Type="http://schemas.openxmlformats.org/officeDocument/2006/relationships/hyperlink" Target="https://tokenization.systems/papers/routing-the-dollar/" TargetMode="External"/><Relationship Id="rId17" Type="http://schemas.openxmlformats.org/officeDocument/2006/relationships/hyperlink" Target="https://tokenization.systems/papers/governance-concentration/" TargetMode="External"/><Relationship Id="rId18" Type="http://schemas.openxmlformats.org/officeDocument/2006/relationships/hyperlink" Target="https://medium.com/borderless-capital/introduction-to-tokenomics-c7af75c09bfe" TargetMode="External"/><Relationship Id="rId19" Type="http://schemas.openxmlformats.org/officeDocument/2006/relationships/hyperlink" Target="https://tokenization.systems/papers/three-strategies/" TargetMode="External"/><Relationship Id="rId20" Type="http://schemas.openxmlformats.org/officeDocument/2006/relationships/hyperlink" Target="https://tokenization.systems/papers/seven-dollars/" TargetMode="External"/><Relationship Id="rId21" Type="http://schemas.openxmlformats.org/officeDocument/2006/relationships/hyperlink" Target="https://tokenization.systems/papers/mvep/" TargetMode="External"/><Relationship Id="rId22" Type="http://schemas.openxmlformats.org/officeDocument/2006/relationships/hyperlink" Target="https://tokenization.systems/papers/operational-risk/" TargetMode="External"/><Relationship Id="rId23" Type="http://schemas.openxmlformats.org/officeDocument/2006/relationships/hyperlink" Target="https://tokenization.systems/papers/who-burns-the-tokens/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2026-03-25T00:23:39.616Z</dcterms:created>
  <dcterms:modified xsi:type="dcterms:W3CDTF">2026-03-25T00:23:39.616Z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