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7"/>
          <w:szCs w:val="37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STABLECOIN POLICY · REGULATORY TRANSLATION · FEDERAL COMMENT LETTERS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13 federal comment letters · FSB AI consultation response · 8 SSRN papers · Dialogues across national security think tanks, securities exchanges, Central Securities Depositories, payments messaging, tier⁠-⁠1 banks, SEC⁠-⁠registered transfer agents</w:t>
        <w:br/>
        <w:t>· Patent⁠-⁠pending Canonical⁠-⁠State Architecture for multi⁠-⁠agent AI research (twelve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7"/>
          <w:szCs w:val="17"/>
        </w:rPr>
        <w:t>Stablecoin policy and regulatory-strategy lead who translates banking and payments rulemaking into reserve, routing, and compliance positions, from federal dockets to capital-markets infrastructure.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stablecoin and payments policy, bank versus money-transmitter charter equivalence, reserve and AML/CFT standards, regulatory translation · OCC, FDIC, FinCEN, OFAC, Treasury GENIUS, CLARITY,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Contributed thirteen comment letters across a federal regulatory program (OCC bank stablecoin engagement </w:t>
      </w:r>
      <w:hyperlink r:id="rId6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7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8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0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1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2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3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4">
        <w:r>
          <w:rPr>
            <w:rStyle w:val="Hyperlink"/>
          </w:rPr>
          <w:t xml:space="preserve">91 FR 18304</w:t>
        </w:r>
      </w:hyperlink>
      <w:r>
        <w:t xml:space="preserve">); first international standard-setter filing: </w:t>
      </w:r>
      <w:hyperlink r:id="rId15">
        <w:r>
          <w:rPr>
            <w:rStyle w:val="Hyperlink"/>
          </w:rPr>
          <w:t xml:space="preserve">FSB AI Sound Practices consultation response</w:t>
        </w:r>
      </w:hyperlink>
      <w:r>
        <w:t xml:space="preserve"> (Jul 2026), applying the MVEP-AI / CLII-AI operator-accountability extensions.</w:t>
      </w:r>
    </w:p>
    <w:p>
      <w:pPr>
        <w:spacing w:after="36"/>
        <w:ind w:left="320" w:hanging="160"/>
      </w:pPr>
      <w:r>
        <w:t xml:space="preserve">• </w:t>
      </w:r>
      <w:hyperlink r:id="rId16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18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19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20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2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Engagement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Engaged in working-level dialogues on stablecoin and tokenization deployment across U.S. national-security research, major securities exchanges, central securities depositories, global payments messaging infrastructure, tier-1 bank tokenization platforms, and SEC-registered transfer agents.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Market-Structure Diligence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Capital Deployment</w:t>
      </w:r>
    </w:p>
    <w:p>
      <w:pPr>
        <w:spacing w:after="36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/>
        <w:ind w:left="320" w:hanging="160"/>
      </w:pPr>
      <w:r>
        <w:t>• Built automated SEC-filing and press-release monitoring for Digital Asset Treasury Stocks (DATs); analyzed ~75 tokenization offerings in 2025 and invested in 18; built AI tool that cut subscription review from 4hr to 1hr per deal.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Advisory &amp; Education</w:t>
      </w:r>
    </w:p>
    <w:p>
      <w:pPr>
        <w:spacing w:after="36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2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/>
        <w:ind w:left="320" w:hanging="160"/>
      </w:pPr>
      <w:r>
        <w:t>• Built the firm's research function from scratch; led a four-analyst team and personally produced ~25 of its ~125 long-form publications annually; taught 100 teams across nine accelerator programs (2021 to 2025).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2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7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8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9">
        <w:r>
          <w:rPr>
            <w:rStyle w:val="Hyperlink"/>
          </w:rPr>
          <w:t xml:space="preserve">MGCPT</w:t>
        </w:r>
      </w:hyperlink>
      <w:r>
        <w:t xml:space="preserve">; </w:t>
      </w:r>
      <w:hyperlink r:id="rId10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0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29"/>
      <w:szCs w:val="29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letters/occ-mvep-v4/" TargetMode="External"/><Relationship Id="rId7" Type="http://schemas.openxmlformats.org/officeDocument/2006/relationships/hyperlink" Target="https://tokenization.systems/letters/occ-supplemental/" TargetMode="External"/><Relationship Id="rId8" Type="http://schemas.openxmlformats.org/officeDocument/2006/relationships/hyperlink" Target="https://tokenization.systems/letters/treasury-genius-state-similarity/" TargetMode="External"/><Relationship Id="rId10" Type="http://schemas.openxmlformats.org/officeDocument/2006/relationships/hyperlink" Target="https://tokenization.systems/letters/fdic-ag19-ppsi-activities/" TargetMode="External"/><Relationship Id="rId11" Type="http://schemas.openxmlformats.org/officeDocument/2006/relationships/hyperlink" Target="https://tokenization.systems/letters/fdic-ag20-ppsi-application/" TargetMode="External"/><Relationship Id="rId12" Type="http://schemas.openxmlformats.org/officeDocument/2006/relationships/hyperlink" Target="https://tokenization.systems/letters/fincen-aml-cft/" TargetMode="External"/><Relationship Id="rId13" Type="http://schemas.openxmlformats.org/officeDocument/2006/relationships/hyperlink" Target="https://tokenization.systems/letters/fincen-ofac-ppsi-sanctions/" TargetMode="External"/><Relationship Id="rId14" Type="http://schemas.openxmlformats.org/officeDocument/2006/relationships/hyperlink" Target="https://tokenization.systems/letters/banking-agencies-joint-aml/" TargetMode="External"/><Relationship Id="rId15" Type="http://schemas.openxmlformats.org/officeDocument/2006/relationships/hyperlink" Target="https://tokenization.systems/letters/fsb-ai-sound-practices/" TargetMode="External"/><Relationship Id="rId16" Type="http://schemas.openxmlformats.org/officeDocument/2006/relationships/hyperlink" Target="https://tokenization.systems/papers/routing-the-dollar/" TargetMode="External"/><Relationship Id="rId17" Type="http://schemas.openxmlformats.org/officeDocument/2006/relationships/hyperlink" Target="https://tokenization.systems/papers/governance-concentration/" TargetMode="External"/><Relationship Id="rId18" Type="http://schemas.openxmlformats.org/officeDocument/2006/relationships/hyperlink" Target="https://tokenization.systems/papers/control-layer-war/" TargetMode="External"/><Relationship Id="rId19" Type="http://schemas.openxmlformats.org/officeDocument/2006/relationships/hyperlink" Target="https://tokenization.systems/papers/mvep/" TargetMode="External"/><Relationship Id="rId20" Type="http://schemas.openxmlformats.org/officeDocument/2006/relationships/hyperlink" Target="https://tokenization.systems/papers/adaptive-tokenomics/" TargetMode="External"/><Relationship Id="rId21" Type="http://schemas.openxmlformats.org/officeDocument/2006/relationships/hyperlink" Target="https://tokenization.systems/papers/operational-risk/" TargetMode="External"/><Relationship Id="rId22" Type="http://schemas.openxmlformats.org/officeDocument/2006/relationships/hyperlink" Target="https://medium.com/borderless-capital/introduction-to-tokenomics-c7af75c09bfe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dollar-v3/" TargetMode="External"/><Relationship Id="rId25" Type="http://schemas.openxmlformats.org/officeDocument/2006/relationships/hyperlink" Target="https://tokenization.systems/papers/three-strategies/" TargetMode="External"/><Relationship Id="rId26" Type="http://schemas.openxmlformats.org/officeDocument/2006/relationships/hyperlink" Target="https://tokenization.systems/papers/who-burns-the-tokens/" TargetMode="External"/><Relationship Id="rId27" Type="http://schemas.openxmlformats.org/officeDocument/2006/relationships/hyperlink" Target="https://tokenization.systems/frameworks/#clii" TargetMode="External"/><Relationship Id="rId28" Type="http://schemas.openxmlformats.org/officeDocument/2006/relationships/hyperlink" Target="https://tokenization.systems/frameworks/#mvep" TargetMode="External"/><Relationship Id="rId29" Type="http://schemas.openxmlformats.org/officeDocument/2006/relationships/hyperlink" Target="https://tokenization.systems/frameworks/#mgcpt" TargetMode="External"/><Relationship Id="rId30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