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TOKENIZED-PRODUCT INVESTMENT MANAGEMENT · DUE DILIGENCE · PORTFOLIO STRATEGY</w:t>
      </w:r>
    </w:p>
    <w:p>
      <w:pPr>
        <w:spacing w:after="10"/>
        <w:jc w:val="center"/>
      </w:pPr>
      <w:r>
        <w:rPr>
          <w:b w:val="0"/>
          <w:i w:val="0"/>
          <w:sz w:val="18"/>
        </w:rPr>
        <w:t>· ~$500M AUM · 250 investments (~25% deployment rate) · ~75 DATs analyzed, 18 invested · LayerZero seed (~80x) · 8 SSRN papers · 14 federal comment letters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9"/>
          <w:szCs w:val="19"/>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1">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5">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6">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agentic-payments-control-layer/" TargetMode="External"/><Relationship Id="rId26" Type="http://schemas.openxmlformats.org/officeDocument/2006/relationships/hyperlink" Target="https://tokenization.systems/letters/fsb-ai-sound-practices/" TargetMode="External"/><Relationship Id="rId27" Type="http://schemas.openxmlformats.org/officeDocument/2006/relationships/hyperlink" Target="https://tokenization.systems/papers/tokenized-equity/"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