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Sourced LayerZero seed (~80x) · CLII across 19 stablecoin gateways · 100 portfolio companies advised 1⁠-⁠on⁠-⁠1 (50+ multi⁠-⁠session) · 8 SSRN papers · 14 federal comment letters</w:t>
        <w:br/>
        <w:t>· 16 USPTO patent applications across 8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fourteen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7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agentic-payments-control-layer/" TargetMode="External"/><Relationship Id="rId23" Type="http://schemas.openxmlformats.org/officeDocument/2006/relationships/hyperlink" Target="https://tokenization.systems/letters/fsb-ai-sound-practices/" TargetMode="External"/><Relationship Id="rId24" Type="http://schemas.openxmlformats.org/officeDocument/2006/relationships/hyperlink" Target="https://tokenization.systems/papers/three-strategies/" TargetMode="External"/><Relationship Id="rId25" Type="http://schemas.openxmlformats.org/officeDocument/2006/relationships/hyperlink" Target="https://tokenization.systems/papers/seven-dollars/" TargetMode="External"/><Relationship Id="rId26" Type="http://schemas.openxmlformats.org/officeDocument/2006/relationships/hyperlink" Target="https://tokenization.systems/papers/dollar-v3/" TargetMode="External"/><Relationship Id="rId27" Type="http://schemas.openxmlformats.org/officeDocument/2006/relationships/hyperlink" Target="https://tokenization.systems/papers/who-burns-the-tokens/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