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DIGITAL ASSET PRODUCT · TOKENIZED MONEY AND PAYMENTS · INSTITUTIONAL DILIGENCE</w:t>
      </w:r>
    </w:p>
    <w:p>
      <w:pPr>
        <w:spacing w:after="10"/>
        <w:jc w:val="center"/>
      </w:pPr>
      <w:r>
        <w:rPr>
          <w:b w:val="0"/>
          <w:i w:val="0"/>
          <w:sz w:val="17"/>
        </w:rPr>
        <w:t>· 1,000+ deal funnel · 100 portfolio companies advised 1⁠-⁠on⁠-⁠1 (50+ multi⁠-⁠session) · LayerZero seed (~80x) · Thorchain $200M insolvency modeled 13 months ahead · 8 SSRN papers · 14 federal comment letters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40" w:before="160"/>
      </w:pPr>
      <w:r>
        <w:rPr>
          <w:rFonts w:ascii="Arial" w:cs="Arial" w:eastAsia="Arial" w:hAnsi="Arial"/>
          <w:color w:val="1A1A1A"/>
          <w:sz w:val="17"/>
          <w:szCs w:val="17"/>
        </w:rPr>
        <w:t>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7"/>
          <w:szCs w:val="17"/>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accepted for publication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19">
        <w:r>
          <w:rPr>
            <w:rStyle w:val="Hyperlink"/>
          </w:rPr>
          <w:t xml:space="preserve">Introduction to Tokenomics</w:t>
        </w:r>
      </w:hyperlink>
      <w:r>
        <w:t>.</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5">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tokenization.systems/papers/governance-concentration/"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agentic-payments-control-layer/"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operational-risk/"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