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14 federal comment letters</w:t>
        <w:br/>
        <w:t>· 16 USPTO patent applications across 8 families (Canonical⁠-⁠State Architecture for multi⁠-⁠agent AI research)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fourteen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806-run agent-based simulation battery;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Who Controls Agentic Payments?</w:t>
        </w:r>
      </w:hyperlink>
      <w:r>
        <w:t xml:space="preserve"> First control-layer measurement of agentic payments (x402). May 2026 facilitator concentration: Base HHI 6,009 by count and 4,040 by dollar volume; Solana 4,203 and 4,915, all above the 2,500 highly-concentrated threshold at under 14 months of market age.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FSB AI Sound Practices response.</w:t>
        </w:r>
      </w:hyperlink>
      <w:r>
        <w:t xml:space="preserve"> Filed 2026-07-01; the program's first international standard-setter filing. Three practice additions (composition-chain documentation, execution-authority evidence, dependency-concentration monitoring) plus the invited nonbank case study on settlement facilitators.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 Editor-invited submission to the Journal of Financial Regulation.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6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7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8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9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30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31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agentic-payments-control-layer/" TargetMode="External"/><Relationship Id="rId23" Type="http://schemas.openxmlformats.org/officeDocument/2006/relationships/hyperlink" Target="https://tokenization.systems/letters/fsb-ai-sound-practices/" TargetMode="External"/><Relationship Id="rId24" Type="http://schemas.openxmlformats.org/officeDocument/2006/relationships/hyperlink" Target="https://tokenization.systems/papers/three-strategies/" TargetMode="External"/><Relationship Id="rId25" Type="http://schemas.openxmlformats.org/officeDocument/2006/relationships/hyperlink" Target="https://tokenization.systems/papers/seven-dollars/" TargetMode="External"/><Relationship Id="rId26" Type="http://schemas.openxmlformats.org/officeDocument/2006/relationships/hyperlink" Target="https://tokenization.systems/papers/dollar-v3/" TargetMode="External"/><Relationship Id="rId27" Type="http://schemas.openxmlformats.org/officeDocument/2006/relationships/hyperlink" Target="https://tokenization.systems/papers/who-burns-the-tokens/" TargetMode="External"/><Relationship Id="rId28" Type="http://schemas.openxmlformats.org/officeDocument/2006/relationships/hyperlink" Target="https://tokenization.systems/frameworks/#clii" TargetMode="External"/><Relationship Id="rId29" Type="http://schemas.openxmlformats.org/officeDocument/2006/relationships/hyperlink" Target="https://tokenization.systems/frameworks/#mvep" TargetMode="External"/><Relationship Id="rId30" Type="http://schemas.openxmlformats.org/officeDocument/2006/relationships/hyperlink" Target="https://tokenization.systems/frameworks/#mgcpt" TargetMode="External"/><Relationship Id="rId31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