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8"/>
          <w:szCs w:val="38"/>
        </w:rPr>
        <w:t xml:space="preserve">Zach Zukowski</w:t>
      </w:r>
    </w:p>
    <w:p>
      <w:pPr>
        <w:spacing w:after="10"/>
        <w:jc w:val="center"/>
      </w:pPr>
      <w:r>
        <w:rPr>
          <w:rFonts w:ascii="Arial" w:cs="Arial" w:eastAsia="Arial" w:hAnsi="Arial"/>
          <w:color w:val="444444"/>
          <w:sz w:val="18"/>
          <w:szCs w:val="18"/>
        </w:rPr>
        <w:t xml:space="preserve">Orlando, FL | Zach@Tokenization.Systems | 407-536-8625</w:t>
      </w:r>
    </w:p>
    <w:p>
      <w:pPr>
        <w:spacing w:after="55"/>
        <w:jc w:val="center"/>
      </w:pPr>
      <w:hyperlink w:history="1" r:id="rIdtk3pkbjp0bnea-khivcha">
        <w:r>
          <w:rPr>
            <w:rFonts w:ascii="Arial" w:cs="Arial" w:eastAsia="Arial" w:hAnsi="Arial"/>
            <w:color w:val="2255AA"/>
            <w:sz w:val="18"/>
            <w:szCs w:val="18"/>
          </w:rPr>
          <w:t xml:space="preserve">Tokenization.Systems</w:t>
        </w:r>
      </w:hyperlink>
      <w:r>
        <w:rPr>
          <w:rFonts w:ascii="Arial" w:cs="Arial" w:eastAsia="Arial" w:hAnsi="Arial"/>
          <w:color w:val="444444"/>
          <w:sz w:val="18"/>
          <w:szCs w:val="18"/>
        </w:rPr>
        <w:t xml:space="preserve">  |  </w:t>
      </w:r>
      <w:hyperlink w:history="1" r:id="rIdnnxna0daueqz2sdxissom">
        <w:r>
          <w:rPr>
            <w:rFonts w:ascii="Arial" w:cs="Arial" w:eastAsia="Arial" w:hAnsi="Arial"/>
            <w:color w:val="2255AA"/>
            <w:sz w:val="18"/>
            <w:szCs w:val="18"/>
          </w:rPr>
          <w:t xml:space="preserve">LinkedIn</w:t>
        </w:r>
      </w:hyperlink>
      <w:r>
        <w:rPr>
          <w:rFonts w:ascii="Arial" w:cs="Arial" w:eastAsia="Arial" w:hAnsi="Arial"/>
          <w:color w:val="444444"/>
          <w:sz w:val="18"/>
          <w:szCs w:val="18"/>
        </w:rPr>
        <w:t xml:space="preserve">  |  </w:t>
      </w:r>
      <w:hyperlink w:history="1" r:id="rIdrdmpe-g4zsyvawvrrkisd">
        <w:r>
          <w:rPr>
            <w:rFonts w:ascii="Arial" w:cs="Arial" w:eastAsia="Arial" w:hAnsi="Arial"/>
            <w:color w:val="2255AA"/>
            <w:sz w:val="18"/>
            <w:szCs w:val="18"/>
          </w:rPr>
          <w:t xml:space="preserve">SSRN</w:t>
        </w:r>
      </w:hyperlink>
      <w:r>
        <w:rPr>
          <w:sz w:val="18"/>
          <w:szCs w:val="18"/>
        </w:rPr>
        <w:t xml:space="preserve">  |  </w:t>
      </w:r>
      <w:hyperlink r:id="rId26">
        <w:r>
          <w:rPr>
            <w:rStyle w:val="Hyperlink"/>
            <w:sz w:val="18"/>
            <w:szCs w:val="18"/>
          </w:rPr>
          <w:t xml:space="preserve">Agent infrastructure</w:t>
        </w:r>
      </w:hyperlink>
    </w:p>
    <w:p>
      <w:pPr>
        <w:spacing w:after="15"/>
        <w:jc w:val="center"/>
      </w:pPr>
      <w:r>
        <w:rPr>
          <w:rFonts w:ascii="Arial" w:cs="Arial" w:eastAsia="Arial" w:hAnsi="Arial"/>
          <w:b/>
          <w:bCs/>
          <w:color w:val="1A1A1A"/>
          <w:sz w:val="22"/>
          <w:szCs w:val="22"/>
        </w:rPr>
        <w:t>AI GOVERNANCE · CONTROL-LAYER ACCOUNTABILITY · DILIGENCE FRAMEWORKS</w:t>
      </w:r>
    </w:p>
    <w:p>
      <w:pPr>
        <w:spacing w:after="10"/>
        <w:jc w:val="center"/>
      </w:pPr>
      <w:r>
        <w:rPr>
          <w:b w:val="0"/>
          <w:i w:val="0"/>
          <w:sz w:val="17"/>
        </w:rPr>
        <w:t>· Digital assets since 2016 (10 years) · 22 MCP + API connections · Diligence⁠-⁠doc review 4hr to 1hr</w:t>
        <w:br/>
        <w:t>· 8 SSRN papers · 15 federal comment letters · FSB AI consultation response</w:t>
        <w:br/>
        <w:t>· 17 USPTO patent applications across 9 families (Canonical⁠-⁠State Architecture for multi⁠-⁠agent AI research)</w:t>
      </w:r>
    </w:p>
    <w:p>
      <w:pPr>
        <w:pBdr>
          <w:bottom w:val="single" w:color="AAAAAA" w:sz="3" w:space="1"/>
        </w:pBdr>
        <w:spacing w:before="280" w:after="120"/>
      </w:pPr>
      <w:r>
        <w:rPr>
          <w:rFonts w:ascii="Arial" w:cs="Arial" w:eastAsia="Arial" w:hAnsi="Arial"/>
          <w:b/>
          <w:bCs/>
          <w:color w:val="1A1A1A"/>
          <w:sz w:val="19"/>
          <w:szCs w:val="19"/>
        </w:rPr>
        <w:t xml:space="preserve">SUMMARY</w:t>
      </w:r>
    </w:p>
    <w:p>
      <w:pPr>
        <w:spacing w:after="40" w:before="160"/>
      </w:pPr>
      <w:r>
        <w:rPr>
          <w:rFonts w:ascii="Arial" w:cs="Arial" w:eastAsia="Arial" w:hAnsi="Arial"/>
          <w:color w:val="1A1A1A"/>
          <w:sz w:val="18"/>
          <w:szCs w:val="18"/>
        </w:rPr>
        <w:t>Ten years in digital assets: independent protocol research from Jul 2016, institutional practice from Dec 2019. AI-augmented research and governance-infrastructure builder who turns control-layer and operator-accountability research into machine-readable diligence systems, now extending that accountability lens from stablecoin gateways to AI deployment. Founder of Tokenization Systems; first hire at Borderless Capital, an RIA.</w:t>
      </w:r>
    </w:p>
    <w:p>
      <w:pPr>
        <w:spacing w:after="38"/>
      </w:pPr>
      <w:r>
        <w:rPr>
          <w:rFonts w:ascii="Arial" w:cs="Arial" w:eastAsia="Arial" w:hAnsi="Arial"/>
          <w:color w:val="1A1A1A"/>
          <w:sz w:val="18"/>
          <w:szCs w:val="18"/>
        </w:rPr>
        <w:t>Focus: research-infrastructure engineering, control-layer accountability, machine-readable diligence, agentic workflow automation · MCP server design, Monte Carlo, difference-in-differences, coalition-power analysis · Python, R, DuneSQL.</w:t>
      </w:r>
    </w:p>
    <w:p>
      <w:pPr>
        <w:pBdr>
          <w:bottom w:val="single" w:color="AAAAAA" w:sz="3" w:space="1"/>
        </w:pBdr>
        <w:spacing w:before="280" w:after="120"/>
      </w:pPr>
      <w:r>
        <w:rPr>
          <w:rFonts w:ascii="Arial" w:cs="Arial" w:eastAsia="Arial" w:hAnsi="Arial"/>
          <w:b/>
          <w:bCs/>
          <w:color w:val="1A1A1A"/>
          <w:sz w:val="19"/>
          <w:szCs w:val="19"/>
        </w:rPr>
        <w:t xml:space="preserve">EXPERIENCE</w:t>
      </w:r>
    </w:p>
    <w:p>
      <w:pPr>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an eight-paper SSRN-live research program covering the </w:t>
      </w:r>
      <w:hyperlink r:id="rId6">
        <w:r>
          <w:rPr>
            <w:rStyle w:val="Hyperlink"/>
          </w:rPr>
          <w:t xml:space="preserve">Control Layer Intensity Index</w:t>
        </w:r>
      </w:hyperlink>
      <w:r>
        <w:t xml:space="preserve"> (CLII) for gateway concentration, the </w:t>
      </w:r>
      <w:hyperlink r:id="rId7">
        <w:r>
          <w:rPr>
            <w:rStyle w:val="Hyperlink"/>
          </w:rPr>
          <w:t xml:space="preserve">Minimum Viable Equivalence Pack</w:t>
        </w:r>
      </w:hyperlink>
      <w:r>
        <w:t xml:space="preserve"> (MVEP) for institutional tokenization diligence, programmable monetary-policy design (</w:t>
      </w:r>
      <w:hyperlink r:id="rId8">
        <w:r>
          <w:rPr>
            <w:rStyle w:val="Hyperlink"/>
          </w:rPr>
          <w:t xml:space="preserve">Adaptive Tokenomics</w:t>
        </w:r>
      </w:hyperlink>
      <w:r>
        <w:t xml:space="preserve">), </w:t>
      </w:r>
      <w:hyperlink r:id="rId10">
        <w:r>
          <w:rPr>
            <w:rStyle w:val="Hyperlink"/>
          </w:rPr>
          <w:t xml:space="preserve">governance concentration</w:t>
        </w:r>
      </w:hyperlink>
      <w:r>
        <w:t xml:space="preserve">, and </w:t>
      </w:r>
      <w:hyperlink r:id="rId11">
        <w:r>
          <w:rPr>
            <w:rStyle w:val="Hyperlink"/>
          </w:rPr>
          <w:t xml:space="preserve">operational risk in token economies</w:t>
        </w:r>
      </w:hyperlink>
      <w:r>
        <w:t>.</w:t>
      </w:r>
    </w:p>
    <w:p>
      <w:pPr>
        <w:spacing w:after="36"/>
        <w:ind w:left="320" w:hanging="160"/>
      </w:pPr>
      <w:r>
        <w:t xml:space="preserve">• Contributed fifteen comment letters across a federal regulatory program (OCC bank stablecoin engagement </w:t>
      </w:r>
      <w:hyperlink r:id="rId12">
        <w:r>
          <w:rPr>
            <w:rStyle w:val="Hyperlink"/>
          </w:rPr>
          <w:t xml:space="preserve">RIN 1557-AF41</w:t>
        </w:r>
      </w:hyperlink>
      <w:r>
        <w:t xml:space="preserve"> plus </w:t>
      </w:r>
      <w:hyperlink r:id="rId13">
        <w:r>
          <w:rPr>
            <w:rStyle w:val="Hyperlink"/>
          </w:rPr>
          <w:t xml:space="preserve">supplemental control-layer extension</w:t>
        </w:r>
      </w:hyperlink>
      <w:r>
        <w:t xml:space="preserve">; </w:t>
      </w:r>
      <w:hyperlink r:id="rId14">
        <w:r>
          <w:rPr>
            <w:rStyle w:val="Hyperlink"/>
          </w:rPr>
          <w:t xml:space="preserve">Treasury GENIUS Act state similarity</w:t>
        </w:r>
      </w:hyperlink>
      <w:r>
        <w:t xml:space="preserve">; FDIC payment-stablecoin reserve standards </w:t>
      </w:r>
      <w:hyperlink r:id="rId15">
        <w:r>
          <w:rPr>
            <w:rStyle w:val="Hyperlink"/>
          </w:rPr>
          <w:t xml:space="preserve">RIN 3064-AG19</w:t>
        </w:r>
      </w:hyperlink>
      <w:r>
        <w:t xml:space="preserve"> and stablecoin-subsidiary issuance approvals </w:t>
      </w:r>
      <w:hyperlink r:id="rId16">
        <w:r>
          <w:rPr>
            <w:rStyle w:val="Hyperlink"/>
          </w:rPr>
          <w:t xml:space="preserve">RIN 3064-AG20</w:t>
        </w:r>
      </w:hyperlink>
      <w:r>
        <w:t xml:space="preserve">; FinCEN AML/CFT </w:t>
      </w:r>
      <w:hyperlink r:id="rId17">
        <w:r>
          <w:rPr>
            <w:rStyle w:val="Hyperlink"/>
          </w:rPr>
          <w:t xml:space="preserve">FINCEN-2026-0034</w:t>
        </w:r>
      </w:hyperlink>
      <w:r>
        <w:t xml:space="preserve">; FinCEN-OFAC PPSI sanctions </w:t>
      </w:r>
      <w:hyperlink r:id="rId18">
        <w:r>
          <w:rPr>
            <w:rStyle w:val="Hyperlink"/>
          </w:rPr>
          <w:t xml:space="preserve">FINCEN-2026-0100</w:t>
        </w:r>
      </w:hyperlink>
      <w:r>
        <w:t xml:space="preserve">; joint banking AML/CFT </w:t>
      </w:r>
      <w:hyperlink r:id="rId19">
        <w:r>
          <w:rPr>
            <w:rStyle w:val="Hyperlink"/>
          </w:rPr>
          <w:t xml:space="preserve">91 FR 18304</w:t>
        </w:r>
      </w:hyperlink>
      <w:r>
        <w:t xml:space="preserve">); first international standard-setter filing: </w:t>
      </w:r>
      <w:hyperlink r:id="rId20">
        <w:r>
          <w:rPr>
            <w:rStyle w:val="Hyperlink"/>
          </w:rPr>
          <w:t xml:space="preserve">FSB AI Sound Practices consultation response</w:t>
        </w:r>
      </w:hyperlink>
      <w:r>
        <w:t xml:space="preserve"> (Jul 2026), the first external deployment of the MVEP-AI / CLII-AI operator-accountability stack; </w:t>
      </w:r>
      <w:hyperlink r:id="rId21">
        <w:r>
          <w:rPr>
            <w:rStyle w:val="Hyperlink"/>
          </w:rPr>
          <w:t xml:space="preserve">Routing the Dollar</w:t>
        </w:r>
      </w:hyperlink>
      <w:r>
        <w:t xml:space="preserve"> submitted to the Federal Reserve Fifth Conference on the Dollar's International Roles (Jun 2026); </w:t>
      </w:r>
      <w:hyperlink r:id="rId10">
        <w:r>
          <w:rPr>
            <w:rStyle w:val="Hyperlink"/>
          </w:rPr>
          <w:t xml:space="preserve">Governance Concentration</w:t>
        </w:r>
      </w:hyperlink>
      <w:r>
        <w:t xml:space="preserve"> accepted for publication at Frontiers in Blockchain.</w:t>
      </w:r>
    </w:p>
    <w:p>
      <w:pPr>
        <w:spacing w:after="36"/>
        <w:ind w:left="320" w:hanging="160"/>
      </w:pPr>
      <w:r>
        <w:t>• Working dialogue with capital-markets infrastructure operators on stablecoin, deposit-token, tokenized-deposit, and tokenized-equity deployment.</w:t>
      </w:r>
    </w:p>
    <w:p>
      <w:pPr>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Research Function &amp; Automation</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tokenization offerings in 2025 and invested in 18; AI-assisted diligence workflows reducing subscription-document review from ~4 hours to ~1 hour per deal.</w:t>
      </w:r>
    </w:p>
    <w:p>
      <w:pPr>
        <w:spacing w:after="36"/>
        <w:ind w:left="320" w:hanging="160"/>
      </w:pPr>
      <w:r>
        <w:t>• Built the firm's research function from scratch; led a four-analyst team and personally produced ~25 of its ~125 long-form publications annually; taught 100 teams across nine accelerator programs (2021 to 2025).</w:t>
      </w:r>
    </w:p>
    <w:p>
      <w:pPr>
        <w:tabs>
          <w:tab w:val="right" w:pos="10320"/>
        </w:tabs>
        <w:spacing w:after="20" w:before="80"/>
        <w:ind w:left="0" w:firstLine="0"/>
      </w:pPr>
      <w:r>
        <w:rPr>
          <w:b/>
          <w:i/>
        </w:rPr>
        <w:t>Governance Standards Advisory</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tabs>
          <w:tab w:val="right" w:pos="10320"/>
        </w:tabs>
        <w:spacing w:after="20" w:before="80"/>
        <w:ind w:left="0" w:firstLine="0"/>
      </w:pPr>
      <w:r>
        <w:rPr>
          <w:b/>
          <w:i/>
        </w:rPr>
        <w:t>Investment &amp; Conviction Calls</w:t>
      </w:r>
    </w:p>
    <w:p>
      <w:pPr>
        <w:spacing w:after="36"/>
        <w:ind w:left="320" w:hanging="160"/>
      </w:pPr>
      <w:r>
        <w:t xml:space="preserve">• Sourced the </w:t>
      </w:r>
      <w:r>
        <w:rPr>
          <w:b/>
        </w:rPr>
        <w:t>LayerZero seed round</w:t>
      </w:r>
      <w:r>
        <w:t xml:space="preserve"> investment for Borderless, returning ~80x; the underlying cross-chain interoperability thesis preceded the firm's Cross-Chain Ecosystem Fund by two years.</w:t>
      </w:r>
    </w:p>
    <w:p>
      <w:pPr>
        <w:spacing w:after="36"/>
        <w:ind w:left="320" w:hanging="160"/>
      </w:pPr>
      <w:r>
        <w:t xml:space="preserve">• Predicted Thorchain's </w:t>
      </w:r>
      <w:r>
        <w:rPr>
          <w:b/>
        </w:rPr>
        <w:t>$200M insolvency 13 months in advance</w:t>
      </w:r>
      <w:r>
        <w:t>; Borderless held no exposure when the predicted failure mode materialized.</w:t>
      </w:r>
    </w:p>
    <w:p>
      <w:pPr>
        <w:keepNext/>
        <w:tabs>
          <w:tab w:val="right" w:pos="10320"/>
        </w:tabs>
        <w:spacing w:after="40" w:before="160"/>
      </w:pPr>
      <w:r>
        <w:rPr>
          <w:b/>
        </w:rPr>
        <w:t>Blockchain Research Analyst (Independent)</w:t>
      </w:r>
      <w:r>
        <w:t xml:space="preserve"> · Self-Employed</w:t>
      </w:r>
      <w:r>
        <w:tab/>
      </w:r>
      <w:r>
        <w:rPr>
          <w:i/>
        </w:rPr>
        <w:t>Jul 2016 to Present</w:t>
      </w:r>
    </w:p>
    <w:p>
      <w:pPr>
        <w:keepLines/>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keepLines/>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keepLines/>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9"/>
          <w:szCs w:val="19"/>
        </w:rPr>
        <w:t xml:space="preserve">SELECTED RESEARCH</w:t>
      </w:r>
    </w:p>
    <w:p>
      <w:pPr>
        <w:spacing w:after="28"/>
        <w:ind w:left="320" w:hanging="160"/>
      </w:pPr>
      <w:r>
        <w:t xml:space="preserve">• </w:t>
      </w:r>
      <w:r>
        <w:rPr>
          <w:b/>
        </w:rPr>
        <w:t>Canonical-State Architecture.</w:t>
      </w:r>
      <w:r>
        <w:t xml:space="preserve"> Filed sixteen US provisional patent applications in 2026: a five-element coordination system for concurrent AI-agent sessions on a shared version-controlled repository, integrating per-session staging-index isolation, a multi-mode verification engine, a commit-time canonical-state coherence gate, recursive self-validation of discipline codifications, and an operator-confirmed promotion gate; validated across ~9,600 commits and 16 or more parallel AI coding sessions over ~4 months (as of 2026-07-15), with a companion 73-page methodology preprint. The applications extend the architecture to role-routed cross-session coordination, actual-touched-file collision detection, and a self-describing verification registry, plus separate applications for evidence-grounding of AI-generated assessments and cited values.</w:t>
      </w:r>
    </w:p>
    <w:p>
      <w:pPr>
        <w:spacing w:after="28"/>
        <w:ind w:left="320" w:hanging="160"/>
      </w:pPr>
      <w:r>
        <w:t xml:space="preserve">• </w:t>
      </w:r>
      <w:hyperlink r:id="rId10">
        <w:r>
          <w:rPr>
            <w:rStyle w:val="Hyperlink"/>
            <w:b/>
          </w:rPr>
          <w:t xml:space="preserve">Auditing Governance Concentration Beyond Token Allocation.</w:t>
        </w:r>
      </w:hyperlink>
      <w:r>
        <w:t xml:space="preserve"> Accepted for publication at Frontiers in Blockchain.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11">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w:t>
      </w:r>
    </w:p>
    <w:p>
      <w:pPr>
        <w:spacing w:after="28"/>
        <w:ind w:left="320" w:hanging="160"/>
      </w:pPr>
      <w:r>
        <w:t xml:space="preserve">• </w:t>
      </w:r>
      <w:hyperlink r:id="rId8">
        <w:r>
          <w:rPr>
            <w:rStyle w:val="Hyperlink"/>
            <w:b/>
          </w:rPr>
          <w:t xml:space="preserve">Adaptive Tokenomics.</w:t>
        </w:r>
      </w:hyperlink>
      <w:r>
        <w:t xml:space="preserve"> Industrial control engineering (PID controller) applied to token-supply emission as programmable monetary-policy mechanism; 806-run agent-based simulation battery; cuts worst-case node-count variance ~6x under competitor-shock attack.</w:t>
      </w:r>
    </w:p>
    <w:p>
      <w:pPr>
        <w:spacing w:after="28"/>
        <w:ind w:left="320" w:hanging="160"/>
      </w:pPr>
      <w:r>
        <w:t xml:space="preserve">• </w:t>
      </w:r>
      <w:hyperlink r:id="rId23">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spacing w:after="28"/>
        <w:ind w:left="320" w:hanging="160"/>
      </w:pPr>
      <w:r>
        <w:t xml:space="preserve">• </w:t>
      </w:r>
      <w:hyperlink r:id="rId21">
        <w:r>
          <w:rPr>
            <w:rStyle w:val="Hyperlink"/>
            <w:b/>
          </w:rPr>
          <w:t xml:space="preserve">Routing the Dollar.</w:t>
        </w:r>
      </w:hyperlink>
      <w:r>
        <w:t xml:space="preserve"> Submitted to Federal Reserve / FRBNY Fifth Conference on the Dollar's International Roles (Jun 2026). Gateway concentration; CLII across 19 gateways including Visa Direct-adjacent paths.</w:t>
      </w:r>
    </w:p>
    <w:p>
      <w:pPr>
        <w:spacing w:after="28"/>
        <w:ind w:left="320" w:hanging="160"/>
      </w:pPr>
      <w:r>
        <w:t xml:space="preserve">• </w:t>
      </w:r>
      <w:hyperlink r:id="rId7">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24">
        <w:r>
          <w:rPr>
            <w:rStyle w:val="Hyperlink"/>
            <w:b/>
          </w:rPr>
          <w:t xml:space="preserve">The Control Layer of Agentic Payments.</w:t>
        </w:r>
      </w:hyperlink>
      <w:r>
        <w:t xml:space="preserve"> First control-layer measurement of live agentic payments (x402): facilitator concentration above the antitrust highly-concentrated threshold on every chain measured, subsidy and proxy pipelines exposed by buyer cardinality, and a composition chain with no accountable layer; anchors the FSB AI-consultation response.</w:t>
      </w:r>
    </w:p>
    <w:p>
      <w:pPr>
        <w:spacing w:after="28"/>
        <w:ind w:left="320" w:hanging="160"/>
      </w:pPr>
      <w:r>
        <w:t xml:space="preserve">• </w:t>
      </w:r>
      <w:hyperlink r:id="rId20">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5">
        <w:r>
          <w:rPr>
            <w:rStyle w:val="Hyperlink"/>
            <w:b/>
          </w:rPr>
          <w:t xml:space="preserve">Seven Dollars.</w:t>
        </w:r>
      </w:hyperlink>
      <w:r>
        <w:t xml:space="preserve"> Cross-product framework for major dollar-denominated digital products; CLII / MVEP decoupling; stress propagation through dependency chains (SVB, Circle pool, Paxos).</w:t>
      </w:r>
    </w:p>
    <w:p>
      <w:pPr>
        <w:pBdr>
          <w:bottom w:val="single" w:color="AAAAAA" w:sz="3" w:space="1"/>
        </w:pBdr>
        <w:spacing w:before="280" w:after="120"/>
      </w:pPr>
      <w:r>
        <w:rPr>
          <w:rFonts w:ascii="Arial" w:cs="Arial" w:eastAsia="Arial" w:hAnsi="Arial"/>
          <w:b/>
          <w:bCs/>
          <w:color w:val="1A1A1A"/>
          <w:sz w:val="19"/>
          <w:szCs w:val="19"/>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36-skill library and 17-file living-knowledge architecture; n8n, Apify, Git / GitHub</w:t>
      </w:r>
    </w:p>
    <w:p>
      <w:pPr>
        <w:pBdr>
          <w:bottom w:val="single" w:color="AAAAAA" w:sz="3" w:space="1"/>
        </w:pBdr>
        <w:spacing w:before="280" w:after="120"/>
      </w:pPr>
      <w:r>
        <w:rPr>
          <w:rFonts w:ascii="Arial" w:cs="Arial" w:eastAsia="Arial" w:hAnsi="Arial"/>
          <w:b/>
          <w:bCs/>
          <w:color w:val="1A1A1A"/>
          <w:sz w:val="19"/>
          <w:szCs w:val="19"/>
        </w:rPr>
        <w:t>RECOGNITION</w:t>
      </w:r>
    </w:p>
    <w:p>
      <w:pPr>
        <w:spacing w:after="36"/>
        <w:ind w:left="320" w:hanging="160"/>
      </w:pPr>
      <w:r>
        <w:t>• AI-governance focus group at Foresight Institute Vision Weekend</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2">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9"/>
          <w:szCs w:val="19"/>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p>
    <w:p>
      <w:pPr>
        <w:tabs>
          <w:tab w:val="right" w:pos="10320"/>
        </w:tabs>
        <w:spacing w:after="0"/>
      </w:pPr>
      <w:r>
        <w:rPr>
          <w:b w:val="0"/>
          <w:i w:val="0"/>
        </w:rPr>
        <w:t>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8"/>
        <w:szCs w:val="18"/>
      </w:rPr>
    </w:rPrDefault>
    <w:pPrDefault/>
  </w:docDefaults>
  <w:style w:type="paragraph" w:styleId="Title">
    <w:name w:val="Title"/>
    <w:basedOn w:val="Normal"/>
    <w:next w:val="Normal"/>
    <w:qFormat/>
    <w:rPr>
      <w:sz w:val="54"/>
      <w:szCs w:val="54"/>
    </w:rPr>
  </w:style>
  <w:style w:type="paragraph" w:styleId="Heading1">
    <w:name w:val="Heading 1"/>
    <w:basedOn w:val="Normal"/>
    <w:next w:val="Normal"/>
    <w:qFormat/>
    <w:rPr>
      <w:color w:val="2E74B5"/>
      <w:sz w:val="31"/>
      <w:szCs w:val="31"/>
    </w:rPr>
  </w:style>
  <w:style w:type="paragraph" w:styleId="Heading2">
    <w:name w:val="Heading 2"/>
    <w:basedOn w:val="Normal"/>
    <w:next w:val="Normal"/>
    <w:qFormat/>
    <w:rPr>
      <w:color w:val="2E74B5"/>
      <w:sz w:val="25"/>
      <w:szCs w:val="25"/>
    </w:rPr>
  </w:style>
  <w:style w:type="paragraph" w:styleId="Heading3">
    <w:name w:val="Heading 3"/>
    <w:basedOn w:val="Normal"/>
    <w:next w:val="Normal"/>
    <w:qFormat/>
    <w:rPr>
      <w:color w:val="1F4D78"/>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9"/>
      <w:szCs w:val="19"/>
    </w:rPr>
  </w:style>
  <w:style w:type="character" w:styleId="FootnoteTextChar">
    <w:name w:val="Footnote Text Char"/>
    <w:basedOn w:val="DefaultParagraphFont"/>
    <w:link w:val="FootnoteText"/>
    <w:uiPriority w:val="99"/>
    <w:semiHidden/>
    <w:unhideWhenUsed/>
    <w:rPr>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papers/control-layer-war/" TargetMode="External"/><Relationship Id="rId7" Type="http://schemas.openxmlformats.org/officeDocument/2006/relationships/hyperlink" Target="https://tokenization.systems/papers/mvep/" TargetMode="External"/><Relationship Id="rId8" Type="http://schemas.openxmlformats.org/officeDocument/2006/relationships/hyperlink" Target="https://tokenization.systems/papers/adaptive-tokenomics/" TargetMode="External"/><Relationship Id="rId10" Type="http://schemas.openxmlformats.org/officeDocument/2006/relationships/hyperlink" Target="https://tokenization.systems/papers/governance-concentration/" TargetMode="External"/><Relationship Id="rId11" Type="http://schemas.openxmlformats.org/officeDocument/2006/relationships/hyperlink" Target="https://tokenization.systems/papers/operational-risk/" TargetMode="External"/><Relationship Id="rId12" Type="http://schemas.openxmlformats.org/officeDocument/2006/relationships/hyperlink" Target="https://tokenization.systems/letters/occ-mvep-v4/" TargetMode="External"/><Relationship Id="rId13" Type="http://schemas.openxmlformats.org/officeDocument/2006/relationships/hyperlink" Target="https://tokenization.systems/letters/occ-supplemental/" TargetMode="External"/><Relationship Id="rId14" Type="http://schemas.openxmlformats.org/officeDocument/2006/relationships/hyperlink" Target="https://tokenization.systems/letters/treasury-genius-state-similarity/" TargetMode="External"/><Relationship Id="rId15" Type="http://schemas.openxmlformats.org/officeDocument/2006/relationships/hyperlink" Target="https://tokenization.systems/letters/fdic-ag19-ppsi-activities/" TargetMode="External"/><Relationship Id="rId16" Type="http://schemas.openxmlformats.org/officeDocument/2006/relationships/hyperlink" Target="https://tokenization.systems/letters/fdic-ag20-ppsi-application/" TargetMode="External"/><Relationship Id="rId17" Type="http://schemas.openxmlformats.org/officeDocument/2006/relationships/hyperlink" Target="https://tokenization.systems/letters/fincen-aml-cft/" TargetMode="External"/><Relationship Id="rId18" Type="http://schemas.openxmlformats.org/officeDocument/2006/relationships/hyperlink" Target="https://tokenization.systems/letters/fincen-ofac-ppsi-sanctions/" TargetMode="External"/><Relationship Id="rId19" Type="http://schemas.openxmlformats.org/officeDocument/2006/relationships/hyperlink" Target="https://tokenization.systems/letters/banking-agencies-joint-aml/" TargetMode="External"/><Relationship Id="rId20" Type="http://schemas.openxmlformats.org/officeDocument/2006/relationships/hyperlink" Target="https://tokenization.systems/letters/fsb-ai-sound-practices/" TargetMode="External"/><Relationship Id="rId21" Type="http://schemas.openxmlformats.org/officeDocument/2006/relationships/hyperlink" Target="https://tokenization.systems/papers/routing-the-dollar/" TargetMode="External"/><Relationship Id="rId22" Type="http://schemas.openxmlformats.org/officeDocument/2006/relationships/hyperlink" Target="https://medium.com/borderless-capital/introduction-to-tokenomics-c7af75c09bfe" TargetMode="External"/><Relationship Id="rId23" Type="http://schemas.openxmlformats.org/officeDocument/2006/relationships/hyperlink" Target="https://tokenization.systems/papers/who-burns-the-tokens/" TargetMode="External"/><Relationship Id="rId24" Type="http://schemas.openxmlformats.org/officeDocument/2006/relationships/hyperlink" Target="https://tokenization.systems/papers/agentic-payments-control-layer/" TargetMode="External"/><Relationship Id="rId25" Type="http://schemas.openxmlformats.org/officeDocument/2006/relationships/hyperlink" Target="https://tokenization.systems/papers/seven-dollars/" TargetMode="External"/><Relationship Id="rId26" Type="http://schemas.openxmlformats.org/officeDocument/2006/relationships/hyperlink" Target="https://tokenization.systems/agent-infrastructur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