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6"/>
        </w:rPr>
        <w:t>· Digital assets since 2016 (10 years) · Sourced LayerZero seed (~80x) · CLII across 19 stablecoin gateways · 100 portfolio companies advised 1⁠-⁠on⁠-⁠1 (50+ multi⁠-⁠session) · 8 SSRN papers · 15 federal comment letters</w:t>
        <w:br/>
        <w:t>· 17 USPTO patent applications across 9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fifteen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keepLines/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keepLines/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keepLines/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7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agentic-payments-control-layer/" TargetMode="External"/><Relationship Id="rId23" Type="http://schemas.openxmlformats.org/officeDocument/2006/relationships/hyperlink" Target="https://tokenization.systems/letters/fsb-ai-sound-practices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seven-dollars/" TargetMode="External"/><Relationship Id="rId26" Type="http://schemas.openxmlformats.org/officeDocument/2006/relationships/hyperlink" Target="https://tokenization.systems/papers/dollar-v3/" TargetMode="External"/><Relationship Id="rId27" Type="http://schemas.openxmlformats.org/officeDocument/2006/relationships/hyperlink" Target="https://tokenization.systems/papers/who-burns-the-tokens/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