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STABLECOIN POLICY · REGULATORY TRANSLATION · FEDERAL COMMENT LETTERS</w:t>
      </w:r>
    </w:p>
    <w:p>
      <w:pPr>
        <w:spacing w:after="10"/>
        <w:jc w:val="center"/>
      </w:pPr>
      <w:r>
        <w:rPr>
          <w:b w:val="0"/>
          <w:i w:val="0"/>
          <w:sz w:val="16"/>
        </w:rPr>
        <w:t>· Digital assets since 2016 (10 years) · 15 federal comment letters · FSB AI consultation response · 8 SSRN papers · Dialogues across national security think tanks, securities exchanges, Central Securities Depositories, payments messaging, tier⁠-⁠1 banks, SEC⁠-⁠registered transfer agents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Stablecoin policy and regulatory-strategy lead who translates banking and payments rulemaking into reserve, routing, and compliance positions, from federal dockets to capital-markets infrastructure. Founder of Tokenization Systems; first hire at Borderless Capital, an RIA.</w:t>
      </w:r>
    </w:p>
    <w:p>
      <w:pPr>
        <w:spacing w:after="38"/>
      </w:pPr>
      <w:r>
        <w:rPr>
          <w:rFonts w:ascii="Arial" w:cs="Arial" w:eastAsia="Arial" w:hAnsi="Arial"/>
          <w:color w:val="1A1A1A"/>
          <w:sz w:val="16"/>
          <w:szCs w:val="16"/>
        </w:rPr>
        <w:t>Focus: stablecoin and payments policy, bank versus money-transmitter charter equivalence, reserve and AML/CFT standards, regulatory translation · OCC, FDIC, FinCEN, OFAC, Treasury GENIUS, CLARITY, MiCA, Singapore MAS.</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Contributed fifteen comment letters across a federal regulatory program (OCC bank stablecoin engagement </w:t>
      </w:r>
      <w:hyperlink r:id="rId6">
        <w:r>
          <w:rPr>
            <w:rStyle w:val="Hyperlink"/>
          </w:rPr>
          <w:t xml:space="preserve">RIN 1557-AF41</w:t>
        </w:r>
      </w:hyperlink>
      <w:r>
        <w:t xml:space="preserve"> plus </w:t>
      </w:r>
      <w:hyperlink r:id="rId7">
        <w:r>
          <w:rPr>
            <w:rStyle w:val="Hyperlink"/>
          </w:rPr>
          <w:t xml:space="preserve">supplemental control-layer extension</w:t>
        </w:r>
      </w:hyperlink>
      <w:r>
        <w:t xml:space="preserve">; </w:t>
      </w:r>
      <w:hyperlink r:id="rId8">
        <w:r>
          <w:rPr>
            <w:rStyle w:val="Hyperlink"/>
          </w:rPr>
          <w:t xml:space="preserve">Treasury GENIUS Act state similarity</w:t>
        </w:r>
      </w:hyperlink>
      <w:r>
        <w:t xml:space="preserve">; FDIC payment-stablecoin reserve standards </w:t>
      </w:r>
      <w:hyperlink r:id="rId10">
        <w:r>
          <w:rPr>
            <w:rStyle w:val="Hyperlink"/>
          </w:rPr>
          <w:t xml:space="preserve">RIN 3064-AG19</w:t>
        </w:r>
      </w:hyperlink>
      <w:r>
        <w:t xml:space="preserve"> and stablecoin-subsidiary issuance approvals </w:t>
      </w:r>
      <w:hyperlink r:id="rId11">
        <w:r>
          <w:rPr>
            <w:rStyle w:val="Hyperlink"/>
          </w:rPr>
          <w:t xml:space="preserve">RIN 3064-AG20</w:t>
        </w:r>
      </w:hyperlink>
      <w:r>
        <w:t xml:space="preserve">; FinCEN AML/CFT </w:t>
      </w:r>
      <w:hyperlink r:id="rId12">
        <w:r>
          <w:rPr>
            <w:rStyle w:val="Hyperlink"/>
          </w:rPr>
          <w:t xml:space="preserve">FINCEN-2026-0034</w:t>
        </w:r>
      </w:hyperlink>
      <w:r>
        <w:t xml:space="preserve">; FinCEN-OFAC PPSI sanctions </w:t>
      </w:r>
      <w:hyperlink r:id="rId13">
        <w:r>
          <w:rPr>
            <w:rStyle w:val="Hyperlink"/>
          </w:rPr>
          <w:t xml:space="preserve">FINCEN-2026-0100</w:t>
        </w:r>
      </w:hyperlink>
      <w:r>
        <w:t xml:space="preserve">; joint banking AML/CFT </w:t>
      </w:r>
      <w:hyperlink r:id="rId14">
        <w:r>
          <w:rPr>
            <w:rStyle w:val="Hyperlink"/>
          </w:rPr>
          <w:t xml:space="preserve">91 FR 18304</w:t>
        </w:r>
      </w:hyperlink>
      <w:r>
        <w:t xml:space="preserve">); first international standard-setter filing: </w:t>
      </w:r>
      <w:hyperlink r:id="rId15">
        <w:r>
          <w:rPr>
            <w:rStyle w:val="Hyperlink"/>
          </w:rPr>
          <w:t xml:space="preserve">FSB AI Sound Practices consultation response</w:t>
        </w:r>
      </w:hyperlink>
      <w:r>
        <w:t xml:space="preserve"> (Jul 2026), applying the MVEP-AI / CLII-AI operator-accountability extensions.</w:t>
      </w:r>
    </w:p>
    <w:p>
      <w:pPr>
        <w:spacing w:after="36"/>
        <w:ind w:left="320" w:hanging="160"/>
      </w:pPr>
      <w:r>
        <w:t xml:space="preserve">• </w:t>
      </w:r>
      <w:hyperlink r:id="rId16">
        <w:r>
          <w:rPr>
            <w:rStyle w:val="Hyperlink"/>
          </w:rPr>
          <w:t xml:space="preserve">Routing the Dollar</w:t>
        </w:r>
      </w:hyperlink>
      <w:r>
        <w:t xml:space="preserve"> prepared for the Federal Reserve Fifth Conference on the Dollar's International Roles (Jun 2026); </w:t>
      </w:r>
      <w:hyperlink r:id="rId17">
        <w:r>
          <w:rPr>
            <w:rStyle w:val="Hyperlink"/>
          </w:rPr>
          <w:t xml:space="preserve">Governance Concentration</w:t>
        </w:r>
      </w:hyperlink>
      <w:r>
        <w:t xml:space="preserve"> accepted for publication at Frontiers in Blockchain.</w:t>
      </w:r>
    </w:p>
    <w:p>
      <w:pPr>
        <w:spacing w:after="36"/>
        <w:ind w:left="320" w:hanging="160"/>
      </w:pPr>
      <w:r>
        <w:t xml:space="preserve">• Authored an eight-paper SSRN-live research program covering the </w:t>
      </w:r>
      <w:hyperlink r:id="rId18">
        <w:r>
          <w:rPr>
            <w:rStyle w:val="Hyperlink"/>
          </w:rPr>
          <w:t xml:space="preserve">Control Layer Intensity Index</w:t>
        </w:r>
      </w:hyperlink>
      <w:r>
        <w:t xml:space="preserve"> (CLII) for gateway concentration, the </w:t>
      </w:r>
      <w:hyperlink r:id="rId19">
        <w:r>
          <w:rPr>
            <w:rStyle w:val="Hyperlink"/>
          </w:rPr>
          <w:t xml:space="preserve">Minimum Viable Equivalence Pack</w:t>
        </w:r>
      </w:hyperlink>
      <w:r>
        <w:t xml:space="preserve"> (MVEP) for institutional tokenization diligence, programmable monetary-policy design (</w:t>
      </w:r>
      <w:hyperlink r:id="rId20">
        <w:r>
          <w:rPr>
            <w:rStyle w:val="Hyperlink"/>
          </w:rPr>
          <w:t xml:space="preserve">Adaptive Tokenomics</w:t>
        </w:r>
      </w:hyperlink>
      <w:r>
        <w:t xml:space="preserve">), </w:t>
      </w:r>
      <w:hyperlink r:id="rId17">
        <w:r>
          <w:rPr>
            <w:rStyle w:val="Hyperlink"/>
          </w:rPr>
          <w:t xml:space="preserve">governance concentration</w:t>
        </w:r>
      </w:hyperlink>
      <w:r>
        <w:t xml:space="preserve">, and </w:t>
      </w:r>
      <w:hyperlink r:id="rId21">
        <w:r>
          <w:rPr>
            <w:rStyle w:val="Hyperlink"/>
          </w:rPr>
          <w:t xml:space="preserve">operational risk in token economies</w:t>
        </w:r>
      </w:hyperlink>
      <w:r>
        <w:t>. Three additional papers in development (B5 Bankruptcy-Priority Misaligned Incentives, A7 Control Layer Theory, SVB Reserve Concentration); methodology paper in preparation.</w:t>
      </w:r>
    </w:p>
    <w:p>
      <w:pPr>
        <w:spacing w:after="36"/>
        <w:ind w:left="320" w:hanging="160"/>
      </w:pPr>
      <w:r>
        <w:t>• Working dialogue with capital-markets infrastructure operators on stablecoin, deposit-token, tokenized-deposit,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Regulatory Engagement</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spacing w:after="36"/>
        <w:ind w:left="320" w:hanging="160"/>
      </w:pPr>
      <w:r>
        <w:t>• Engaged in working-level dialogues on stablecoin and tokenization deployment across U.S. national-security research, major securities exchanges, central securities depositories, global payments messaging infrastructure, tier-1 bank tokenization platforms, and SEC-registered transfer agents.</w:t>
      </w:r>
    </w:p>
    <w:p>
      <w:pPr>
        <w:spacing w:after="36"/>
        <w:ind w:left="320" w:hanging="160"/>
      </w:pPr>
      <w:r>
        <w:t>• Mapped jurisdictional tax / regulatory advantages of DAT structures over direct crypto holding: Japan's Metaplanet DAT cuts crypto capital-gains tax from up to 55% to 20% (equity rate, further reducible via Japan's IRA structure); Hong Kong's Southbound Connect could give mainland Chinese capital regulated access to crypto banned domestically.</w:t>
      </w:r>
    </w:p>
    <w:p>
      <w:pPr>
        <w:tabs>
          <w:tab w:val="right" w:pos="10320"/>
        </w:tabs>
        <w:spacing w:after="20" w:before="80"/>
        <w:ind w:left="0" w:firstLine="0"/>
      </w:pPr>
      <w:r>
        <w:rPr>
          <w:b/>
          <w:i/>
        </w:rPr>
        <w:t>Market-Structure Diligence</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Built quantitative token-economic models forecasting emissions, fee capture, subsidy-to-revenue trajectories, and governance concentration under wide scenario ranges; supply-equilibrium and slashing dynamics supporting Layer 1 mechanism-design advisory.</w:t>
      </w:r>
    </w:p>
    <w:p>
      <w:pPr>
        <w:tabs>
          <w:tab w:val="right" w:pos="10320"/>
        </w:tabs>
        <w:spacing w:after="20" w:before="80"/>
        <w:ind w:left="0" w:firstLine="0"/>
      </w:pPr>
      <w:r>
        <w:rPr>
          <w:b/>
          <w:i/>
        </w:rPr>
        <w:t>Capital Deployment</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built AI tool that cut subscription review from 4hr to 1hr per deal.</w:t>
      </w:r>
    </w:p>
    <w:p>
      <w:pPr>
        <w:tabs>
          <w:tab w:val="right" w:pos="10320"/>
        </w:tabs>
        <w:spacing w:after="20" w:before="80"/>
        <w:ind w:left="0" w:firstLine="0"/>
      </w:pPr>
      <w:r>
        <w:rPr>
          <w:b/>
          <w:i/>
        </w:rPr>
        <w:t>Advisory &amp; Education</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19">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1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3">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15">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4">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5">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institutional scoping of product shape and counterparty topology.</w:t>
      </w:r>
    </w:p>
    <w:p>
      <w:pPr>
        <w:spacing w:after="28"/>
        <w:ind w:left="320" w:hanging="160"/>
      </w:pPr>
      <w:r>
        <w:t xml:space="preserve">• </w:t>
      </w:r>
      <w:hyperlink r:id="rId26">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1">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w:t>
      </w:r>
    </w:p>
    <w:p>
      <w:pPr>
        <w:spacing w:after="28"/>
        <w:ind w:left="320" w:hanging="160"/>
      </w:pPr>
      <w:r>
        <w:t xml:space="preserve">• </w:t>
      </w:r>
      <w:hyperlink r:id="rId20">
        <w:r>
          <w:rPr>
            <w:rStyle w:val="Hyperlink"/>
            <w:b/>
          </w:rPr>
          <w:t xml:space="preserve">Adaptive Tokenomics.</w:t>
        </w:r>
      </w:hyperlink>
      <w:r>
        <w:t xml:space="preserve"> Industrial control engineering (PID controller) applied to token-supply emission as programmable monetary-policy mechanism; 806-run agent-based simulation battery; PID emission control cuts worst-case node-count variance from CV 0.544 (static emission) to 0.087 (PID), functioning as downside insurance under competitor-shock attack.</w:t>
      </w:r>
    </w:p>
    <w:p>
      <w:pPr>
        <w:spacing w:after="28"/>
        <w:ind w:left="320" w:hanging="160"/>
      </w:pPr>
      <w:r>
        <w:t xml:space="preserve">• </w:t>
      </w:r>
      <w:hyperlink r:id="rId17">
        <w:r>
          <w:rPr>
            <w:rStyle w:val="Hyperlink"/>
            <w:b/>
          </w:rPr>
          <w:t xml:space="preserve">Auditing Governance Concentration Beyond Token Allocation.</w:t>
        </w:r>
      </w:hyperlink>
      <w:r>
        <w:t xml:space="preserve"> Accepted for publication at Frontiers in Blockchain.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7">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 n8n, Apify, Git / GitHub</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2">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8">
        <w:r>
          <w:rPr>
            <w:rStyle w:val="Hyperlink"/>
          </w:rPr>
          <w:t xml:space="preserve">CLII</w:t>
        </w:r>
      </w:hyperlink>
      <w:r>
        <w:t>), Minimum Viable Equivalence Pack (</w:t>
      </w:r>
      <w:hyperlink r:id="rId29">
        <w:r>
          <w:rPr>
            <w:rStyle w:val="Hyperlink"/>
          </w:rPr>
          <w:t xml:space="preserve">MVEP</w:t>
        </w:r>
      </w:hyperlink>
      <w:r>
        <w:t>), MVEP-gated Conditional Pass-Through (</w:t>
      </w:r>
      <w:hyperlink r:id="rId30">
        <w:r>
          <w:rPr>
            <w:rStyle w:val="Hyperlink"/>
          </w:rPr>
          <w:t xml:space="preserve">MGCPT</w:t>
        </w:r>
      </w:hyperlink>
      <w:r>
        <w:t xml:space="preserve">; </w:t>
      </w:r>
      <w:hyperlink r:id="rId10">
        <w:r>
          <w:rPr>
            <w:rStyle w:val="Hyperlink"/>
          </w:rPr>
          <w:t xml:space="preserve">AG19 Rec 7</w:t>
        </w:r>
      </w:hyperlink>
      <w:r>
        <w:t>), Three-Category Reserve Disclosure (</w:t>
      </w:r>
      <w:hyperlink r:id="rId31">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letters/occ-mvep-v4/" TargetMode="External"/><Relationship Id="rId7" Type="http://schemas.openxmlformats.org/officeDocument/2006/relationships/hyperlink" Target="https://tokenization.systems/letters/occ-supplemental/" TargetMode="External"/><Relationship Id="rId8" Type="http://schemas.openxmlformats.org/officeDocument/2006/relationships/hyperlink" Target="https://tokenization.systems/letters/treasury-genius-state-similarity/" TargetMode="External"/><Relationship Id="rId10" Type="http://schemas.openxmlformats.org/officeDocument/2006/relationships/hyperlink" Target="https://tokenization.systems/letters/fdic-ag19-ppsi-activities/" TargetMode="External"/><Relationship Id="rId11" Type="http://schemas.openxmlformats.org/officeDocument/2006/relationships/hyperlink" Target="https://tokenization.systems/letters/fdic-ag20-ppsi-application/" TargetMode="External"/><Relationship Id="rId12" Type="http://schemas.openxmlformats.org/officeDocument/2006/relationships/hyperlink" Target="https://tokenization.systems/letters/fincen-aml-cft/" TargetMode="External"/><Relationship Id="rId13" Type="http://schemas.openxmlformats.org/officeDocument/2006/relationships/hyperlink" Target="https://tokenization.systems/letters/fincen-ofac-ppsi-sanctions/" TargetMode="External"/><Relationship Id="rId14" Type="http://schemas.openxmlformats.org/officeDocument/2006/relationships/hyperlink" Target="https://tokenization.systems/letters/banking-agencies-joint-aml/" TargetMode="External"/><Relationship Id="rId15" Type="http://schemas.openxmlformats.org/officeDocument/2006/relationships/hyperlink" Target="https://tokenization.systems/letters/fsb-ai-sound-practices/" TargetMode="External"/><Relationship Id="rId16" Type="http://schemas.openxmlformats.org/officeDocument/2006/relationships/hyperlink" Target="https://tokenization.systems/papers/routing-the-dollar/" TargetMode="External"/><Relationship Id="rId17" Type="http://schemas.openxmlformats.org/officeDocument/2006/relationships/hyperlink" Target="https://tokenization.systems/papers/governance-concentration/" TargetMode="External"/><Relationship Id="rId18" Type="http://schemas.openxmlformats.org/officeDocument/2006/relationships/hyperlink" Target="https://tokenization.systems/papers/control-layer-war/" TargetMode="External"/><Relationship Id="rId19" Type="http://schemas.openxmlformats.org/officeDocument/2006/relationships/hyperlink" Target="https://tokenization.systems/papers/mvep/" TargetMode="External"/><Relationship Id="rId20" Type="http://schemas.openxmlformats.org/officeDocument/2006/relationships/hyperlink" Target="https://tokenization.systems/papers/adaptive-tokenomics/" TargetMode="External"/><Relationship Id="rId21" Type="http://schemas.openxmlformats.org/officeDocument/2006/relationships/hyperlink" Target="https://tokenization.systems/papers/operational-risk/" TargetMode="External"/><Relationship Id="rId22" Type="http://schemas.openxmlformats.org/officeDocument/2006/relationships/hyperlink" Target="https://medium.com/borderless-capital/introduction-to-tokenomics-c7af75c09bfe" TargetMode="External"/><Relationship Id="rId23" Type="http://schemas.openxmlformats.org/officeDocument/2006/relationships/hyperlink" Target="https://tokenization.systems/papers/agentic-payments-control-layer/" TargetMode="External"/><Relationship Id="rId24" Type="http://schemas.openxmlformats.org/officeDocument/2006/relationships/hyperlink" Target="https://tokenization.systems/papers/seven-dollars/" TargetMode="External"/><Relationship Id="rId25" Type="http://schemas.openxmlformats.org/officeDocument/2006/relationships/hyperlink" Target="https://tokenization.systems/papers/dollar-v3/" TargetMode="External"/><Relationship Id="rId26" Type="http://schemas.openxmlformats.org/officeDocument/2006/relationships/hyperlink" Target="https://tokenization.systems/papers/three-strategies/" TargetMode="External"/><Relationship Id="rId27" Type="http://schemas.openxmlformats.org/officeDocument/2006/relationships/hyperlink" Target="https://tokenization.systems/papers/who-burns-the-tokens/" TargetMode="External"/><Relationship Id="rId28" Type="http://schemas.openxmlformats.org/officeDocument/2006/relationships/hyperlink" Target="https://tokenization.systems/frameworks/#clii" TargetMode="External"/><Relationship Id="rId29" Type="http://schemas.openxmlformats.org/officeDocument/2006/relationships/hyperlink" Target="https://tokenization.systems/frameworks/#mvep" TargetMode="External"/><Relationship Id="rId30" Type="http://schemas.openxmlformats.org/officeDocument/2006/relationships/hyperlink" Target="https://tokenization.systems/frameworks/#mgcpt" TargetMode="External"/><Relationship Id="rId31"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