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6"/>
        </w:rPr>
        <w:t>· Digital assets since 2016 (10 years) · 74⁠-⁠vector risk taxonomy · 64 testable controls · 624⁠-⁠scenario simulation battery · Thorchain $200M insolvency modeled 13 months ahead · 8 SSRN papers · 15 federal comment letters</w:t>
        <w:br/>
        <w:t>· 17 USPTO patent applications across 9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fifteen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keepLines/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keepLines/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keepLines/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