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40"/>
          <w:szCs w:val="40"/>
        </w:rPr>
        <w:t xml:space="preserve">Zach Zukowski</w:t>
      </w:r>
    </w:p>
    <w:p>
      <w:pPr>
        <w:spacing w:after="10"/>
        <w:jc w:val="center"/>
      </w:pPr>
      <w:r>
        <w:rPr>
          <w:rFonts w:ascii="Arial" w:cs="Arial" w:eastAsia="Arial" w:hAnsi="Arial"/>
          <w:color w:val="444444"/>
          <w:sz w:val="19"/>
          <w:szCs w:val="19"/>
        </w:rPr>
        <w:t xml:space="preserve">Orlando, FL | Zach@Tokenization.Systems | 407-536-8625</w:t>
      </w:r>
    </w:p>
    <w:p>
      <w:pPr>
        <w:spacing w:after="55"/>
        <w:jc w:val="center"/>
      </w:pPr>
      <w:hyperlink w:history="1" r:id="rIdtk3pkbjp0bnea-khivcha">
        <w:r>
          <w:rPr>
            <w:rFonts w:ascii="Arial" w:cs="Arial" w:eastAsia="Arial" w:hAnsi="Arial"/>
            <w:color w:val="2255AA"/>
            <w:sz w:val="19"/>
            <w:szCs w:val="19"/>
          </w:rPr>
          <w:t xml:space="preserve">Tokenization.Systems</w:t>
        </w:r>
      </w:hyperlink>
      <w:r>
        <w:rPr>
          <w:rFonts w:ascii="Arial" w:cs="Arial" w:eastAsia="Arial" w:hAnsi="Arial"/>
          <w:color w:val="444444"/>
          <w:sz w:val="19"/>
          <w:szCs w:val="19"/>
        </w:rPr>
        <w:t xml:space="preserve">  |  </w:t>
      </w:r>
      <w:hyperlink w:history="1" r:id="rIdnnxna0daueqz2sdxissom">
        <w:r>
          <w:rPr>
            <w:rFonts w:ascii="Arial" w:cs="Arial" w:eastAsia="Arial" w:hAnsi="Arial"/>
            <w:color w:val="2255AA"/>
            <w:sz w:val="19"/>
            <w:szCs w:val="19"/>
          </w:rPr>
          <w:t xml:space="preserve">LinkedIn</w:t>
        </w:r>
      </w:hyperlink>
      <w:r>
        <w:rPr>
          <w:rFonts w:ascii="Arial" w:cs="Arial" w:eastAsia="Arial" w:hAnsi="Arial"/>
          <w:color w:val="444444"/>
          <w:sz w:val="19"/>
          <w:szCs w:val="19"/>
        </w:rPr>
        <w:t xml:space="preserve">  |  </w:t>
      </w:r>
      <w:hyperlink w:history="1" r:id="rIdrdmpe-g4zsyvawvrrkisd">
        <w:r>
          <w:rPr>
            <w:rFonts w:ascii="Arial" w:cs="Arial" w:eastAsia="Arial" w:hAnsi="Arial"/>
            <w:color w:val="2255AA"/>
            <w:sz w:val="19"/>
            <w:szCs w:val="19"/>
          </w:rPr>
          <w:t xml:space="preserve">SSRN</w:t>
        </w:r>
      </w:hyperlink>
    </w:p>
    <w:p>
      <w:pPr>
        <w:spacing w:after="15"/>
        <w:jc w:val="center"/>
      </w:pPr>
      <w:r>
        <w:rPr>
          <w:rFonts w:ascii="Arial" w:cs="Arial" w:eastAsia="Arial" w:hAnsi="Arial"/>
          <w:b/>
          <w:bCs/>
          <w:color w:val="1A1A1A"/>
          <w:sz w:val="23"/>
          <w:szCs w:val="23"/>
        </w:rPr>
        <w:t>TOKENIZED-PRODUCT INVESTMENT MANAGEMENT · DUE DILIGENCE · PORTFOLIO STRATEGY</w:t>
      </w:r>
    </w:p>
    <w:p>
      <w:pPr>
        <w:spacing w:after="10"/>
        <w:jc w:val="center"/>
      </w:pPr>
      <w:r>
        <w:rPr>
          <w:b w:val="0"/>
          <w:i w:val="0"/>
          <w:sz w:val="18"/>
        </w:rPr>
        <w:t>· ~$500M AUM · 250 investments (~25% deployment rate) · ~75 DATs analyzed, 18 invested · LayerZero seed (~80x) · 8 SSRN papers · 13 federal comment letters</w:t>
        <w:br/>
        <w:t>· Patent⁠-⁠pending Canonical⁠-⁠State Architecture for multi⁠-⁠agent AI research (sixteen USPTO provisional applications, 2026)</w:t>
      </w:r>
    </w:p>
    <w:p>
      <w:pPr>
        <w:pBdr>
          <w:bottom w:val="single" w:color="AAAAAA" w:sz="3" w:space="1"/>
        </w:pBdr>
        <w:spacing w:before="280" w:after="120"/>
      </w:pPr>
      <w:r>
        <w:rPr>
          <w:rFonts w:ascii="Arial" w:cs="Arial" w:eastAsia="Arial" w:hAnsi="Arial"/>
          <w:b/>
          <w:bCs/>
          <w:color w:val="1A1A1A"/>
          <w:sz w:val="20"/>
          <w:szCs w:val="20"/>
        </w:rPr>
        <w:t xml:space="preserve">SUMMARY</w:t>
      </w:r>
    </w:p>
    <w:p>
      <w:pPr>
        <w:spacing w:after="38"/>
      </w:pPr>
      <w:r>
        <w:rPr>
          <w:rFonts w:ascii="Arial" w:cs="Arial" w:eastAsia="Arial" w:hAnsi="Arial"/>
          <w:color w:val="1A1A1A"/>
          <w:sz w:val="19"/>
          <w:szCs w:val="19"/>
        </w:rPr>
        <w:t>Tokenized-product investment researcher who underwrites tokenized money-market funds, deposit tokens, stablecoins, and yield wrappers from sourcing through committee. First hire at Borderless Capital, an RIA; now founder of Tokenization Systems.</w:t>
      </w:r>
    </w:p>
    <w:p>
      <w:pPr>
        <w:spacing w:after="38"/>
      </w:pPr>
      <w:r>
        <w:rPr>
          <w:rFonts w:ascii="Arial" w:cs="Arial" w:eastAsia="Arial" w:hAnsi="Arial"/>
          <w:color w:val="1A1A1A"/>
          <w:sz w:val="19"/>
          <w:szCs w:val="19"/>
        </w:rPr>
        <w:t>Focus: tokenized-product diligence, portfolio construction, build-versus-hold allocation, NAV and mNAV analysis, deal sourcing · scenario modeling, Monte Carlo, difference-in-differences · pre-seed to Series C, Digital Asset Treasuries.</w:t>
      </w:r>
    </w:p>
    <w:p>
      <w:pPr>
        <w:pBdr>
          <w:bottom w:val="single" w:color="AAAAAA" w:sz="3" w:space="1"/>
        </w:pBdr>
        <w:spacing w:before="280" w:after="120"/>
      </w:pPr>
      <w:r>
        <w:rPr>
          <w:rFonts w:ascii="Arial" w:cs="Arial" w:eastAsia="Arial" w:hAnsi="Arial"/>
          <w:b/>
          <w:bCs/>
          <w:color w:val="1A1A1A"/>
          <w:sz w:val="20"/>
          <w:szCs w:val="20"/>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6">
        <w:r>
          <w:rPr>
            <w:rStyle w:val="Hyperlink"/>
          </w:rPr>
          <w:t xml:space="preserve">Control Layer Intensity Index</w:t>
        </w:r>
      </w:hyperlink>
      <w:r>
        <w:t xml:space="preserve"> (CLII) for gateway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xml:space="preserve">), </w:t>
      </w:r>
      <w:hyperlink r:id="rId10">
        <w:r>
          <w:rPr>
            <w:rStyle w:val="Hyperlink"/>
          </w:rPr>
          <w:t xml:space="preserve">governance concentration</w:t>
        </w:r>
      </w:hyperlink>
      <w:r>
        <w:t xml:space="preserve">, and </w:t>
      </w:r>
      <w:hyperlink r:id="rId1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xml:space="preserve">• Contributed fourteen comment letters across a federal regulatory program (OCC bank stablecoin engagement </w:t>
      </w:r>
      <w:hyperlink r:id="rId12">
        <w:r>
          <w:rPr>
            <w:rStyle w:val="Hyperlink"/>
          </w:rPr>
          <w:t xml:space="preserve">RIN 1557-AF41</w:t>
        </w:r>
      </w:hyperlink>
      <w:r>
        <w:t xml:space="preserve"> plus </w:t>
      </w:r>
      <w:hyperlink r:id="rId13">
        <w:r>
          <w:rPr>
            <w:rStyle w:val="Hyperlink"/>
          </w:rPr>
          <w:t xml:space="preserve">supplemental control-layer extension</w:t>
        </w:r>
      </w:hyperlink>
      <w:r>
        <w:t xml:space="preserve">; </w:t>
      </w:r>
      <w:hyperlink r:id="rId14">
        <w:r>
          <w:rPr>
            <w:rStyle w:val="Hyperlink"/>
          </w:rPr>
          <w:t xml:space="preserve">Treasury GENIUS Act state similarity</w:t>
        </w:r>
      </w:hyperlink>
      <w:r>
        <w:t xml:space="preserve">; FDIC payment-stablecoin reserve standards </w:t>
      </w:r>
      <w:hyperlink r:id="rId15">
        <w:r>
          <w:rPr>
            <w:rStyle w:val="Hyperlink"/>
          </w:rPr>
          <w:t xml:space="preserve">RIN 3064-AG19</w:t>
        </w:r>
      </w:hyperlink>
      <w:r>
        <w:t xml:space="preserve"> and stablecoin-subsidiary issuance approvals </w:t>
      </w:r>
      <w:hyperlink r:id="rId16">
        <w:r>
          <w:rPr>
            <w:rStyle w:val="Hyperlink"/>
          </w:rPr>
          <w:t xml:space="preserve">RIN 3064-AG20</w:t>
        </w:r>
      </w:hyperlink>
      <w:r>
        <w:t xml:space="preserve">; FinCEN AML/CFT </w:t>
      </w:r>
      <w:hyperlink r:id="rId17">
        <w:r>
          <w:rPr>
            <w:rStyle w:val="Hyperlink"/>
          </w:rPr>
          <w:t xml:space="preserve">FINCEN-2026-0034</w:t>
        </w:r>
      </w:hyperlink>
      <w:r>
        <w:t xml:space="preserve">; FinCEN-OFAC PPSI sanctions </w:t>
      </w:r>
      <w:hyperlink r:id="rId18">
        <w:r>
          <w:rPr>
            <w:rStyle w:val="Hyperlink"/>
          </w:rPr>
          <w:t xml:space="preserve">FINCEN-2026-0100</w:t>
        </w:r>
      </w:hyperlink>
      <w:r>
        <w:t xml:space="preserve">; joint banking AML/CFT </w:t>
      </w:r>
      <w:hyperlink r:id="rId19">
        <w:r>
          <w:rPr>
            <w:rStyle w:val="Hyperlink"/>
          </w:rPr>
          <w:t xml:space="preserve">91 FR 18304</w:t>
        </w:r>
      </w:hyperlink>
      <w:r>
        <w:t xml:space="preserve">); </w:t>
      </w:r>
      <w:hyperlink r:id="rId20">
        <w:r>
          <w:rPr>
            <w:rStyle w:val="Hyperlink"/>
          </w:rPr>
          <w:t xml:space="preserve">Routing the Dollar</w:t>
        </w:r>
      </w:hyperlink>
      <w:r>
        <w:t xml:space="preserve"> prepared for the Federal Reserve Fifth Conference on the Dollar's International Roles (Jun 2026); </w:t>
      </w:r>
      <w:hyperlink r:id="rId10">
        <w:r>
          <w:rPr>
            <w:rStyle w:val="Hyperlink"/>
          </w:rPr>
          <w:t xml:space="preserve">Governance Concentration</w:t>
        </w:r>
      </w:hyperlink>
      <w:r>
        <w:t xml:space="preserve"> accepted for publication at Frontiers in Blockchain.</w:t>
      </w:r>
    </w:p>
    <w:p>
      <w:pPr>
        <w:spacing w:after="36"/>
        <w:ind w:left="320" w:hanging="160"/>
      </w:pPr>
      <w:r>
        <w:t>• Working dialogue with capital-markets infrastructure operators on stablecoin, deposit-token, tokenized-deposit,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Shipped 250 portfolio investments (~25% deployment rate) across ~10 institutional funds (~$500M AUM) from a 1,000+ deal pre-seed-to-Series-C funnel, with build/partner/hold recommendations to committee.</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xml:space="preserve">• Advised 100 portfolio companies 1-on-1 on token mechanism design (stablecoin reserves, governance-token allocation and incentive design, yield wrappers, burn/emission dynamics); standards defined in </w:t>
      </w:r>
      <w:hyperlink r:id="rId21">
        <w:r>
          <w:rPr>
            <w:rStyle w:val="Hyperlink"/>
          </w:rPr>
          <w:t xml:space="preserve">Introduction to Tokenomics</w:t>
        </w:r>
      </w:hyperlink>
      <w:r>
        <w:t>.</w:t>
      </w:r>
    </w:p>
    <w:p>
      <w:pPr>
        <w:spacing w:after="36"/>
        <w:ind w:left="320" w:hanging="160"/>
      </w:pPr>
      <w:r>
        <w:t>• Built quantitative token-economic models forecasting emissions, fee capture, pricing and subsidy-to-revenue trajectories, and governance concentration under wide scenario ranges; supply-equilibrium and slashing dynamics supporting Layer 1 business-model and mechanism-design advisory.</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AI-assisted diligence workflows reducing subscription-document review from ~4 hours to ~1 hour per deal.</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pageBreakBefore/>
        <w:pBdr>
          <w:bottom w:val="single" w:color="AAAAAA" w:sz="3" w:space="1"/>
        </w:pBdr>
        <w:spacing w:before="280" w:after="120"/>
      </w:pPr>
      <w:r>
        <w:rPr>
          <w:rFonts w:ascii="Arial" w:cs="Arial" w:eastAsia="Arial" w:hAnsi="Arial"/>
          <w:b/>
          <w:bCs/>
          <w:color w:val="1A1A1A"/>
          <w:sz w:val="20"/>
          <w:szCs w:val="20"/>
        </w:rPr>
        <w:t xml:space="preserve">SELECTED RESEARCH</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production-validated by Circle's BUIDL March 27, 2025 incident (23 hours of limited availability).</w:t>
      </w:r>
    </w:p>
    <w:p>
      <w:pPr>
        <w:spacing w:after="28"/>
        <w:ind w:left="320" w:hanging="160"/>
      </w:pPr>
      <w:r>
        <w:t xml:space="preserve">• </w:t>
      </w:r>
      <w:hyperlink r:id="rId22">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3">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4">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0">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240-scenario Monte Carlo simulation;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1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10">
        <w:r>
          <w:rPr>
            <w:rStyle w:val="Hyperlink"/>
            <w:b/>
          </w:rPr>
          <w:t xml:space="preserve">Auditing Governance Concentration Beyond Token Allocation.</w:t>
        </w:r>
      </w:hyperlink>
      <w:r>
        <w:t xml:space="preserve"> Accepted for publication at Frontiers in Blockchain.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5">
        <w:r>
          <w:rPr>
            <w:rStyle w:val="Hyperlink"/>
            <w:b/>
          </w:rPr>
          <w:t xml:space="preserve">Tokenized Equity Vehicles.</w:t>
        </w:r>
      </w:hyperlink>
      <w:r>
        <w:t xml:space="preserve"> Comparative analysis of Robinhood Stock Tokens and Backed xStocks across legal form, investor claim, liquidity architecture, and corporate-actions reconciliation; the binding constraints that determine whether institutions can hold, trade, and report tokenized equity.</w:t>
      </w:r>
    </w:p>
    <w:p>
      <w:pPr>
        <w:pBdr>
          <w:bottom w:val="single" w:color="AAAAAA" w:sz="3" w:space="1"/>
        </w:pBdr>
        <w:spacing w:before="280" w:after="120"/>
      </w:pPr>
      <w:r>
        <w:rPr>
          <w:rFonts w:ascii="Arial" w:cs="Arial" w:eastAsia="Arial" w:hAnsi="Arial"/>
          <w:b/>
          <w:bCs/>
          <w:color w:val="1A1A1A"/>
          <w:sz w:val="20"/>
          <w:szCs w:val="20"/>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 n8n, Apify, Git / GitHub</w:t>
      </w:r>
    </w:p>
    <w:p>
      <w:pPr>
        <w:pBdr>
          <w:bottom w:val="single" w:color="AAAAAA" w:sz="3" w:space="1"/>
        </w:pBdr>
        <w:spacing w:before="280" w:after="120"/>
      </w:pPr>
      <w:r>
        <w:rPr>
          <w:rFonts w:ascii="Arial" w:cs="Arial" w:eastAsia="Arial" w:hAnsi="Arial"/>
          <w:b/>
          <w:bCs/>
          <w:color w:val="1A1A1A"/>
          <w:sz w:val="20"/>
          <w:szCs w:val="20"/>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1">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20"/>
          <w:szCs w:val="20"/>
        </w:rPr>
        <w:t>FRAMEWORKS AUTHORED</w:t>
      </w:r>
    </w:p>
    <w:p>
      <w:pPr>
        <w:spacing w:after="36"/>
        <w:ind w:left="320" w:hanging="160"/>
      </w:pPr>
      <w:r>
        <w:t>• Control Layer Intensity Index (</w:t>
      </w:r>
      <w:hyperlink r:id="rId26">
        <w:r>
          <w:rPr>
            <w:rStyle w:val="Hyperlink"/>
          </w:rPr>
          <w:t xml:space="preserve">CLII</w:t>
        </w:r>
      </w:hyperlink>
      <w:r>
        <w:t>), Minimum Viable Equivalence Pack (</w:t>
      </w:r>
      <w:hyperlink r:id="rId27">
        <w:r>
          <w:rPr>
            <w:rStyle w:val="Hyperlink"/>
          </w:rPr>
          <w:t xml:space="preserve">MVEP</w:t>
        </w:r>
      </w:hyperlink>
      <w:r>
        <w:t>), MVEP-gated Conditional Pass-Through (</w:t>
      </w:r>
      <w:hyperlink r:id="rId28">
        <w:r>
          <w:rPr>
            <w:rStyle w:val="Hyperlink"/>
          </w:rPr>
          <w:t xml:space="preserve">MGCPT</w:t>
        </w:r>
      </w:hyperlink>
      <w:r>
        <w:t xml:space="preserve">; </w:t>
      </w:r>
      <w:hyperlink r:id="rId15">
        <w:r>
          <w:rPr>
            <w:rStyle w:val="Hyperlink"/>
          </w:rPr>
          <w:t xml:space="preserve">AG19 Rec 7</w:t>
        </w:r>
      </w:hyperlink>
      <w:r>
        <w:t>), Three-Category Reserve Disclosure (</w:t>
      </w:r>
      <w:hyperlink r:id="rId29">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20"/>
          <w:szCs w:val="20"/>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control-layer-w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papers/governance-concentration/" TargetMode="External"/><Relationship Id="rId11" Type="http://schemas.openxmlformats.org/officeDocument/2006/relationships/hyperlink" Target="https://tokenization.systems/papers/operational-risk/" TargetMode="External"/><Relationship Id="rId12" Type="http://schemas.openxmlformats.org/officeDocument/2006/relationships/hyperlink" Target="https://tokenization.systems/letters/occ-mvep-v4/" TargetMode="External"/><Relationship Id="rId13" Type="http://schemas.openxmlformats.org/officeDocument/2006/relationships/hyperlink" Target="https://tokenization.systems/letters/occ-supplemental/" TargetMode="External"/><Relationship Id="rId14" Type="http://schemas.openxmlformats.org/officeDocument/2006/relationships/hyperlink" Target="https://tokenization.systems/letters/treasury-genius-state-similarity/" TargetMode="External"/><Relationship Id="rId15" Type="http://schemas.openxmlformats.org/officeDocument/2006/relationships/hyperlink" Target="https://tokenization.systems/letters/fdic-ag19-ppsi-activities/" TargetMode="External"/><Relationship Id="rId16" Type="http://schemas.openxmlformats.org/officeDocument/2006/relationships/hyperlink" Target="https://tokenization.systems/letters/fdic-ag20-ppsi-application/" TargetMode="External"/><Relationship Id="rId17" Type="http://schemas.openxmlformats.org/officeDocument/2006/relationships/hyperlink" Target="https://tokenization.systems/letters/fincen-aml-cft/" TargetMode="External"/><Relationship Id="rId18" Type="http://schemas.openxmlformats.org/officeDocument/2006/relationships/hyperlink" Target="https://tokenization.systems/letters/fincen-ofac-ppsi-sanctions/" TargetMode="External"/><Relationship Id="rId19" Type="http://schemas.openxmlformats.org/officeDocument/2006/relationships/hyperlink" Target="https://tokenization.systems/letters/banking-agencies-joint-aml/" TargetMode="External"/><Relationship Id="rId20" Type="http://schemas.openxmlformats.org/officeDocument/2006/relationships/hyperlink" Target="https://tokenization.systems/papers/routing-the-dollar/" TargetMode="External"/><Relationship Id="rId21" Type="http://schemas.openxmlformats.org/officeDocument/2006/relationships/hyperlink" Target="https://medium.com/borderless-capital/introduction-to-tokenomics-c7af75c09bfe" TargetMode="External"/><Relationship Id="rId22" Type="http://schemas.openxmlformats.org/officeDocument/2006/relationships/hyperlink" Target="https://tokenization.systems/papers/three-strategies/" TargetMode="External"/><Relationship Id="rId23" Type="http://schemas.openxmlformats.org/officeDocument/2006/relationships/hyperlink" Target="https://tokenization.systems/papers/seven-dollars/" TargetMode="External"/><Relationship Id="rId24" Type="http://schemas.openxmlformats.org/officeDocument/2006/relationships/hyperlink" Target="https://tokenization.systems/papers/dollar-v3/" TargetMode="External"/><Relationship Id="rId25" Type="http://schemas.openxmlformats.org/officeDocument/2006/relationships/hyperlink" Target="https://tokenization.systems/papers/tokenized-equity/" TargetMode="External"/><Relationship Id="rId26" Type="http://schemas.openxmlformats.org/officeDocument/2006/relationships/hyperlink" Target="https://tokenization.systems/frameworks/#clii" TargetMode="External"/><Relationship Id="rId27" Type="http://schemas.openxmlformats.org/officeDocument/2006/relationships/hyperlink" Target="https://tokenization.systems/frameworks/#mvep" TargetMode="External"/><Relationship Id="rId28" Type="http://schemas.openxmlformats.org/officeDocument/2006/relationships/hyperlink" Target="https://tokenization.systems/frameworks/#mgcpt" TargetMode="External"/><Relationship Id="rId29"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