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7"/>
          <w:szCs w:val="37"/>
        </w:rPr>
        <w:t xml:space="preserve">Zach Zukowski</w:t>
      </w:r>
    </w:p>
    <w:p>
      <w:pPr>
        <w:spacing w:after="10"/>
        <w:jc w:val="center"/>
      </w:pPr>
      <w:r>
        <w:rPr>
          <w:rFonts w:ascii="Arial" w:cs="Arial" w:eastAsia="Arial" w:hAnsi="Arial"/>
          <w:color w:val="444444"/>
          <w:sz w:val="17"/>
          <w:szCs w:val="17"/>
        </w:rPr>
        <w:t xml:space="preserve">Orlando, FL | Zach@Tokenization.Systems | 407-536-8625</w:t>
      </w:r>
    </w:p>
    <w:p>
      <w:pPr>
        <w:spacing w:after="55"/>
        <w:jc w:val="center"/>
      </w:pPr>
      <w:hyperlink w:history="1" r:id="rIdtk3pkbjp0bnea-khivcha">
        <w:r>
          <w:rPr>
            <w:rFonts w:ascii="Arial" w:cs="Arial" w:eastAsia="Arial" w:hAnsi="Arial"/>
            <w:color w:val="2255AA"/>
            <w:sz w:val="17"/>
            <w:szCs w:val="17"/>
          </w:rPr>
          <w:t xml:space="preserve">Tokenization.Systems</w:t>
        </w:r>
      </w:hyperlink>
      <w:r>
        <w:rPr>
          <w:rFonts w:ascii="Arial" w:cs="Arial" w:eastAsia="Arial" w:hAnsi="Arial"/>
          <w:color w:val="444444"/>
          <w:sz w:val="17"/>
          <w:szCs w:val="17"/>
        </w:rPr>
        <w:t xml:space="preserve">  |  </w:t>
      </w:r>
      <w:hyperlink w:history="1" r:id="rIdnnxna0daueqz2sdxissom">
        <w:r>
          <w:rPr>
            <w:rFonts w:ascii="Arial" w:cs="Arial" w:eastAsia="Arial" w:hAnsi="Arial"/>
            <w:color w:val="2255AA"/>
            <w:sz w:val="17"/>
            <w:szCs w:val="17"/>
          </w:rPr>
          <w:t xml:space="preserve">LinkedIn</w:t>
        </w:r>
      </w:hyperlink>
      <w:r>
        <w:rPr>
          <w:rFonts w:ascii="Arial" w:cs="Arial" w:eastAsia="Arial" w:hAnsi="Arial"/>
          <w:color w:val="444444"/>
          <w:sz w:val="17"/>
          <w:szCs w:val="17"/>
        </w:rPr>
        <w:t xml:space="preserve">  |  </w:t>
      </w:r>
      <w:hyperlink w:history="1" r:id="rIdrdmpe-g4zsyvawvrrkisd">
        <w:r>
          <w:rPr>
            <w:rFonts w:ascii="Arial" w:cs="Arial" w:eastAsia="Arial" w:hAnsi="Arial"/>
            <w:color w:val="2255AA"/>
            <w:sz w:val="17"/>
            <w:szCs w:val="17"/>
          </w:rPr>
          <w:t xml:space="preserve">SSRN</w:t>
        </w:r>
      </w:hyperlink>
    </w:p>
    <w:p>
      <w:pPr>
        <w:spacing w:after="15"/>
        <w:jc w:val="center"/>
      </w:pPr>
      <w:r>
        <w:rPr>
          <w:rFonts w:ascii="Arial" w:cs="Arial" w:eastAsia="Arial" w:hAnsi="Arial"/>
          <w:b/>
          <w:bCs/>
          <w:color w:val="1A1A1A"/>
          <w:sz w:val="21"/>
          <w:szCs w:val="21"/>
        </w:rPr>
        <w:t>DIGITAL ASSET PRODUCT · TOKENIZED MONEY AND PAYMENTS · INSTITUTIONAL DILIGENCE</w:t>
      </w:r>
    </w:p>
    <w:p>
      <w:pPr>
        <w:spacing w:after="10"/>
        <w:jc w:val="center"/>
      </w:pPr>
      <w:r>
        <w:rPr>
          <w:b w:val="0"/>
          <w:i w:val="0"/>
          <w:sz w:val="17"/>
        </w:rPr>
        <w:t>· 1,000+ deal funnel · 100 portfolio companies advised 1⁠-⁠on⁠-⁠1 (50+ multi⁠-⁠session) · LayerZero seed (~80x) · Thorchain $200M insolvency modeled 13 months ahead · 8 SSRN papers · 13 federal comment letters</w:t>
        <w:br/>
        <w:t>· Patent⁠-⁠pending Canonical⁠-⁠State Architecture for multi⁠-⁠agent AI research (sixteen USPTO provisional applications, 2026)</w:t>
      </w:r>
    </w:p>
    <w:p>
      <w:pPr>
        <w:pBdr>
          <w:bottom w:val="single" w:color="AAAAAA" w:sz="3" w:space="1"/>
        </w:pBdr>
        <w:spacing w:before="280" w:after="120"/>
      </w:pPr>
      <w:r>
        <w:rPr>
          <w:rFonts w:ascii="Arial" w:cs="Arial" w:eastAsia="Arial" w:hAnsi="Arial"/>
          <w:b/>
          <w:bCs/>
          <w:color w:val="1A1A1A"/>
          <w:sz w:val="18"/>
          <w:szCs w:val="18"/>
        </w:rPr>
        <w:t xml:space="preserve">SUMMARY</w:t>
      </w:r>
    </w:p>
    <w:p>
      <w:pPr>
        <w:spacing w:after="40" w:before="160"/>
      </w:pPr>
      <w:r>
        <w:rPr>
          <w:rFonts w:ascii="Arial" w:cs="Arial" w:eastAsia="Arial" w:hAnsi="Arial"/>
          <w:color w:val="1A1A1A"/>
          <w:sz w:val="17"/>
          <w:szCs w:val="17"/>
        </w:rPr>
        <w:t>Digital-asset product strategist across stablecoins, deposit tokens, tokenized money-market funds, and on-chain payment rails, grounding product calls in control-layer and operator-accountability research. Founder of Tokenization Systems; first hire at Borderless Capital, an RIA.</w:t>
      </w:r>
    </w:p>
    <w:p>
      <w:pPr>
        <w:spacing w:after="38"/>
      </w:pPr>
      <w:r>
        <w:rPr>
          <w:rFonts w:ascii="Arial" w:cs="Arial" w:eastAsia="Arial" w:hAnsi="Arial"/>
          <w:color w:val="1A1A1A"/>
          <w:sz w:val="17"/>
          <w:szCs w:val="17"/>
        </w:rPr>
        <w:t>Focus: payment stablecoins, deposit tokens, tokenized money-market funds, on-chain payment rails · token-economic and scenario modeling, build-versus-partner framework design · OCC, FDIC, FinCEN, Treasury GENIUS, CLARITY, MiCA.</w:t>
      </w:r>
    </w:p>
    <w:p>
      <w:pPr>
        <w:pBdr>
          <w:bottom w:val="single" w:color="AAAAAA" w:sz="3" w:space="1"/>
        </w:pBdr>
        <w:spacing w:before="280" w:after="120"/>
      </w:pPr>
      <w:r>
        <w:rPr>
          <w:rFonts w:ascii="Arial" w:cs="Arial" w:eastAsia="Arial" w:hAnsi="Arial"/>
          <w:b/>
          <w:bCs/>
          <w:color w:val="1A1A1A"/>
          <w:sz w:val="18"/>
          <w:szCs w:val="18"/>
        </w:rPr>
        <w:t xml:space="preserve">EXPERIENCE</w:t>
      </w:r>
    </w:p>
    <w:p>
      <w:pPr>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an eight-paper SSRN-live research program covering the </w:t>
      </w:r>
      <w:hyperlink r:id="rId6">
        <w:r>
          <w:rPr>
            <w:rStyle w:val="Hyperlink"/>
          </w:rPr>
          <w:t xml:space="preserve">Control Layer Intensity Index</w:t>
        </w:r>
      </w:hyperlink>
      <w:r>
        <w:t xml:space="preserve"> (CLII) for stablecoin gateway and payment-rail concentration, the </w:t>
      </w:r>
      <w:hyperlink r:id="rId7">
        <w:r>
          <w:rPr>
            <w:rStyle w:val="Hyperlink"/>
          </w:rPr>
          <w:t xml:space="preserve">Minimum Viable Equivalence Pack</w:t>
        </w:r>
      </w:hyperlink>
      <w:r>
        <w:t xml:space="preserve"> (MVEP) for institutional tokenization diligence, programmable monetary-policy design (</w:t>
      </w:r>
      <w:hyperlink r:id="rId8">
        <w:r>
          <w:rPr>
            <w:rStyle w:val="Hyperlink"/>
          </w:rPr>
          <w:t xml:space="preserve">Adaptive Tokenomics</w:t>
        </w:r>
      </w:hyperlink>
      <w:r>
        <w:t>), governance concentration, and operational risk in token economies. Three additional papers in development (B5 Bankruptcy-Priority Misaligned Incentives, A7 Control Layer Theory, SVB Reserve Concentration); methodology paper in preparation.</w:t>
      </w:r>
    </w:p>
    <w:p>
      <w:pPr>
        <w:spacing w:after="36"/>
        <w:ind w:left="320" w:hanging="160"/>
      </w:pPr>
      <w:r>
        <w:t xml:space="preserve">• Contributed fourteen comment letters across a federal regulatory program (OCC bank stablecoin engagement </w:t>
      </w:r>
      <w:hyperlink r:id="rId10">
        <w:r>
          <w:rPr>
            <w:rStyle w:val="Hyperlink"/>
          </w:rPr>
          <w:t xml:space="preserve">RIN 1557-AF41</w:t>
        </w:r>
      </w:hyperlink>
      <w:r>
        <w:t xml:space="preserve"> plus </w:t>
      </w:r>
      <w:hyperlink r:id="rId11">
        <w:r>
          <w:rPr>
            <w:rStyle w:val="Hyperlink"/>
          </w:rPr>
          <w:t xml:space="preserve">supplemental control-layer extension</w:t>
        </w:r>
      </w:hyperlink>
      <w:r>
        <w:t xml:space="preserve">; </w:t>
      </w:r>
      <w:hyperlink r:id="rId12">
        <w:r>
          <w:rPr>
            <w:rStyle w:val="Hyperlink"/>
          </w:rPr>
          <w:t xml:space="preserve">Treasury GENIUS Act state similarity</w:t>
        </w:r>
      </w:hyperlink>
      <w:r>
        <w:t xml:space="preserve">; FDIC payment-stablecoin reserve standards </w:t>
      </w:r>
      <w:hyperlink r:id="rId13">
        <w:r>
          <w:rPr>
            <w:rStyle w:val="Hyperlink"/>
          </w:rPr>
          <w:t xml:space="preserve">RIN 3064-AG19</w:t>
        </w:r>
      </w:hyperlink>
      <w:r>
        <w:t xml:space="preserve"> and stablecoin-subsidiary issuance approvals </w:t>
      </w:r>
      <w:hyperlink r:id="rId14">
        <w:r>
          <w:rPr>
            <w:rStyle w:val="Hyperlink"/>
          </w:rPr>
          <w:t xml:space="preserve">RIN 3064-AG20</w:t>
        </w:r>
      </w:hyperlink>
      <w:r>
        <w:t xml:space="preserve">; FinCEN AML/CFT </w:t>
      </w:r>
      <w:hyperlink r:id="rId15">
        <w:r>
          <w:rPr>
            <w:rStyle w:val="Hyperlink"/>
          </w:rPr>
          <w:t xml:space="preserve">FINCEN-2026-0034</w:t>
        </w:r>
      </w:hyperlink>
      <w:r>
        <w:t xml:space="preserve">; FinCEN-OFAC PPSI sanctions </w:t>
      </w:r>
      <w:hyperlink r:id="rId16">
        <w:r>
          <w:rPr>
            <w:rStyle w:val="Hyperlink"/>
          </w:rPr>
          <w:t xml:space="preserve">FINCEN-2026-0100</w:t>
        </w:r>
      </w:hyperlink>
      <w:r>
        <w:t xml:space="preserve">; joint banking AML/CFT </w:t>
      </w:r>
      <w:hyperlink r:id="rId17">
        <w:r>
          <w:rPr>
            <w:rStyle w:val="Hyperlink"/>
          </w:rPr>
          <w:t xml:space="preserve">91 FR 18304</w:t>
        </w:r>
      </w:hyperlink>
      <w:r>
        <w:t xml:space="preserve">); </w:t>
      </w:r>
      <w:hyperlink r:id="rId6">
        <w:r>
          <w:rPr>
            <w:rStyle w:val="Hyperlink"/>
          </w:rPr>
          <w:t xml:space="preserve">Routing the Dollar</w:t>
        </w:r>
      </w:hyperlink>
      <w:r>
        <w:t xml:space="preserve"> prepared for the Federal Reserve Fifth Conference on the Dollar's International Roles (Jun 2026); </w:t>
      </w:r>
      <w:hyperlink r:id="rId18">
        <w:r>
          <w:rPr>
            <w:rStyle w:val="Hyperlink"/>
          </w:rPr>
          <w:t xml:space="preserve">Governance Concentration</w:t>
        </w:r>
      </w:hyperlink>
      <w:r>
        <w:t xml:space="preserve"> accepted for publication at Frontiers in Blockchain.</w:t>
      </w:r>
    </w:p>
    <w:p>
      <w:pPr>
        <w:spacing w:after="36"/>
        <w:ind w:left="320" w:hanging="160"/>
      </w:pPr>
      <w:r>
        <w:t>• Active dialogues across U.S. national-security research, major securities exchanges, central securities depositories, global payments messaging infrastructure, tier-1 bank tokenization platforms, and SEC-registered transfer agents on stablecoin, deposit-token, tokenized-deposit, tokenized money-market-fund, tokenized-commodity, and tokenized-equity deployment.</w:t>
      </w:r>
    </w:p>
    <w:p>
      <w:pPr>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Product Strategy &amp; Lifecycle</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spacing w:after="36"/>
        <w:ind w:left="320" w:hanging="160"/>
      </w:pPr>
      <w:r>
        <w:t xml:space="preserve">• Advised 100 portfolio companies 1-on-1 on token mechanism design (stablecoin reserves, governance-token allocation and incentive design, yield wrappers, burn/emission dynamics); standards defined in </w:t>
      </w:r>
      <w:hyperlink r:id="rId19">
        <w:r>
          <w:rPr>
            <w:rStyle w:val="Hyperlink"/>
          </w:rPr>
          <w:t xml:space="preserve">Introduction to Tokenomics</w:t>
        </w:r>
      </w:hyperlink>
      <w:r>
        <w:t>.</w:t>
      </w:r>
    </w:p>
    <w:p>
      <w:pPr>
        <w:tabs>
          <w:tab w:val="right" w:pos="10320"/>
        </w:tabs>
        <w:spacing w:after="20" w:before="80"/>
        <w:ind w:left="0" w:firstLine="0"/>
      </w:pPr>
      <w:r>
        <w:rPr>
          <w:b/>
          <w:i/>
        </w:rPr>
        <w:t>Product Systems &amp; Tooling</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tokenization offerings in 2025 and invested in 18; AI-assisted diligence workflows reducing subscription-document review from ~4 hours to ~1 hour per deal.</w:t>
      </w:r>
    </w:p>
    <w:p>
      <w:pPr>
        <w:spacing w:after="36"/>
        <w:ind w:left="320" w:hanging="160"/>
      </w:pPr>
      <w:r>
        <w:t>• Built apples-to-apples multiple on NAV (mNAV) methodology for Digital Asset Treasury Stocks (DATs) and shipped a daily mNAV dashboard sourcing SEC filings and press releases; standardized treatment of non-crypto assets in the numerator across issuers (issuer-reported mNAV figures use inconsistent conventions that undermine cross-DAT comparison).</w:t>
      </w:r>
    </w:p>
    <w:p>
      <w:pPr>
        <w:tabs>
          <w:tab w:val="right" w:pos="10320"/>
        </w:tabs>
        <w:spacing w:after="20" w:before="80"/>
        <w:ind w:left="0" w:firstLine="0"/>
      </w:pPr>
      <w:r>
        <w:rPr>
          <w:b/>
          <w:i/>
        </w:rPr>
        <w:t>Risk &amp; Exception Management</w:t>
      </w:r>
    </w:p>
    <w:p>
      <w:pPr>
        <w:spacing w:after="36"/>
        <w:ind w:left="320" w:hanging="160"/>
      </w:pPr>
      <w:r>
        <w:t xml:space="preserve">• Predicted Thorchain's </w:t>
      </w:r>
      <w:r>
        <w:rPr>
          <w:b/>
        </w:rPr>
        <w:t>$200M insolvency 13 months in advance</w:t>
      </w:r>
      <w:r>
        <w:t>, leading to a no-exposure posture before the predicted failure mode materialized.</w:t>
      </w:r>
    </w:p>
    <w:p>
      <w:pPr>
        <w:spacing w:after="36"/>
        <w:ind w:left="320" w:hanging="160"/>
      </w:pPr>
      <w:r>
        <w:t>• Prevented hostile governance capture on a top-25 blockchain via voting-path simulation under coalition-attack scenarios; surfaced the vulnerability and mitigation route before exploitation.</w:t>
      </w:r>
    </w:p>
    <w:p>
      <w:pPr>
        <w:spacing w:after="36"/>
        <w:ind w:left="320" w:hanging="160"/>
      </w:pPr>
      <w:r>
        <w:t>• Identified ~15% misreporting of circulating supply in a top-25 Layer 1 protocol by independently modeling its tokenomics (emission schedule, vesting, burn dynamics); the discrepancy had propagated to CoinMarketCap and CoinGecko, and was corrected after partnering with the protocol's foundation engineers.</w:t>
      </w:r>
    </w:p>
    <w:p>
      <w:pPr>
        <w:tabs>
          <w:tab w:val="right" w:pos="10320"/>
        </w:tabs>
        <w:spacing w:after="20" w:before="80"/>
        <w:ind w:left="0" w:firstLine="0"/>
      </w:pPr>
      <w:r>
        <w:rPr>
          <w:b/>
          <w:i/>
        </w:rPr>
        <w:t>Market Discovery &amp; Sourcing</w:t>
      </w:r>
    </w:p>
    <w:p>
      <w:pPr>
        <w:spacing w:after="36"/>
        <w:ind w:left="320" w:hanging="160"/>
      </w:pPr>
      <w:r>
        <w:t xml:space="preserve">• Sourced the </w:t>
      </w:r>
      <w:r>
        <w:rPr>
          <w:b/>
        </w:rPr>
        <w:t>LayerZero seed round</w:t>
      </w:r>
      <w:r>
        <w:t xml:space="preserve"> investment for Borderless, returning ~80x; the underlying cross-chain interoperability thesis preceded the firm's Cross-Chain Ecosystem Fund by two years.</w:t>
      </w:r>
    </w:p>
    <w:p>
      <w:pPr>
        <w:spacing w:after="36"/>
        <w:ind w:left="320" w:hanging="160"/>
      </w:pPr>
      <w:r>
        <w:t>• Shipped 250 portfolio investments (~25% deployment rate) across ~10 institutional funds (~$500M AUM) from a 1,000+ deal pre-seed-to-Series-C funnel, with build/partner/hold recommendations to committee.</w:t>
      </w:r>
    </w:p>
    <w:p>
      <w:pPr>
        <w:spacing w:after="36"/>
        <w:ind w:left="320" w:hanging="160"/>
      </w:pPr>
      <w:r>
        <w:t>• Mapped jurisdictional tax / regulatory advantages of DAT structures over direct crypto holding: Japan's Metaplanet DAT cuts crypto capital-gains tax from up to 55% to 20% (equity rate, further reducible via Japan's IRA structure); Hong Kong's Southbound Connect could give mainland Chinese capital regulated access to crypto banned domestically.</w:t>
      </w:r>
    </w:p>
    <w:p>
      <w:pPr>
        <w:pageBreakBefore/>
        <w:pBdr>
          <w:bottom w:val="single" w:color="AAAAAA" w:sz="3" w:space="1"/>
        </w:pBdr>
        <w:spacing w:before="280" w:after="120"/>
      </w:pPr>
      <w:r>
        <w:rPr>
          <w:rFonts w:ascii="Arial" w:cs="Arial" w:eastAsia="Arial" w:hAnsi="Arial"/>
          <w:b/>
          <w:bCs/>
          <w:color w:val="1A1A1A"/>
          <w:sz w:val="18"/>
          <w:szCs w:val="18"/>
        </w:rPr>
        <w:t xml:space="preserve">SELECTED RESEARCH</w:t>
      </w:r>
    </w:p>
    <w:p>
      <w:pPr>
        <w:spacing w:after="28"/>
        <w:ind w:left="320" w:hanging="160"/>
      </w:pPr>
      <w:r>
        <w:t xml:space="preserve">• </w:t>
      </w:r>
      <w:hyperlink r:id="rId6">
        <w:r>
          <w:rPr>
            <w:rStyle w:val="Hyperlink"/>
            <w:b/>
          </w:rPr>
          <w:t xml:space="preserve">Routing the Dollar.</w:t>
        </w:r>
      </w:hyperlink>
      <w:r>
        <w:t xml:space="preserve"> Prepared for Federal Reserve / FRBNY Fifth Conference on the Dollar's International Roles (Jun 2026). Gateway concentration; CLII across 19 gateways with Tier 1 a 56% / 44% Coinbase-Circle duopoly; on Ethereum, transfer volume doubled while unique counterparties fell 25% and cross-gateway connections dropped from 5.8% to 2.6%.</w:t>
      </w:r>
    </w:p>
    <w:p>
      <w:pPr>
        <w:spacing w:after="28"/>
        <w:ind w:left="320" w:hanging="160"/>
      </w:pPr>
      <w:r>
        <w:t xml:space="preserve">• </w:t>
      </w:r>
      <w:hyperlink r:id="rId20">
        <w:r>
          <w:rPr>
            <w:rStyle w:val="Hyperlink"/>
            <w:b/>
          </w:rPr>
          <w:t xml:space="preserve">Three Tokenization Strategies.</w:t>
        </w:r>
      </w:hyperlink>
      <w:r>
        <w:t xml:space="preserve"> Each of three strategies satisfies different MVEP categories with measurably different strength (Regulated Collateral Circuit, Multi-Issuer Yield Stack, Tokenized Equity Rails); Securitize as cross-strategy concentration risk.</w:t>
      </w:r>
    </w:p>
    <w:p>
      <w:pPr>
        <w:spacing w:after="28"/>
        <w:ind w:left="320" w:hanging="160"/>
      </w:pPr>
      <w:r>
        <w:t xml:space="preserve">• </w:t>
      </w:r>
      <w:hyperlink r:id="rId21">
        <w:r>
          <w:rPr>
            <w:rStyle w:val="Hyperlink"/>
            <w:b/>
          </w:rPr>
          <w:t xml:space="preserve">Seven Dollars.</w:t>
        </w:r>
      </w:hyperlink>
      <w:r>
        <w:t xml:space="preserve"> Cross-product framework for major dollar-denominated digital products and how dollars move across them; CLII / MVEP decoupling; stress propagation through dependency chains (SVB, Circle pool, Paxos).</w:t>
      </w:r>
    </w:p>
    <w:p>
      <w:pPr>
        <w:spacing w:after="28"/>
        <w:ind w:left="320" w:hanging="160"/>
      </w:pPr>
      <w:r>
        <w:t xml:space="preserve">• </w:t>
      </w:r>
      <w:hyperlink r:id="rId22">
        <w:r>
          <w:rPr>
            <w:rStyle w:val="Hyperlink"/>
            <w:b/>
          </w:rPr>
          <w:t xml:space="preserve">Dollar v3.</w:t>
        </w:r>
      </w:hyperlink>
      <w:r>
        <w:t xml:space="preserve"> Four digital-dollar objects (payment stablecoins, tokenized deposits, deposit tokens, yield wrappers); typology for inheritance of control environments, backstop expectations, and failure modes; load-bearing for PM scoping of product shape and counterparty topology.</w:t>
      </w:r>
    </w:p>
    <w:p>
      <w:pPr>
        <w:spacing w:after="28"/>
        <w:ind w:left="320" w:hanging="160"/>
      </w:pPr>
      <w:r>
        <w:t xml:space="preserve">• </w:t>
      </w:r>
      <w:hyperlink r:id="rId7">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w:t>
      </w:r>
    </w:p>
    <w:p>
      <w:pPr>
        <w:spacing w:after="28"/>
        <w:ind w:left="320" w:hanging="160"/>
      </w:pPr>
      <w:r>
        <w:t xml:space="preserve">• </w:t>
      </w:r>
      <w:hyperlink r:id="rId8">
        <w:r>
          <w:rPr>
            <w:rStyle w:val="Hyperlink"/>
            <w:b/>
          </w:rPr>
          <w:t xml:space="preserve">Adaptive Tokenomics.</w:t>
        </w:r>
      </w:hyperlink>
      <w:r>
        <w:t xml:space="preserve"> Industrial control engineering (PID, Proportional-Integral-Derivative) applied to token-supply emission as programmable monetary-policy mechanism; 240-scenario Monte Carlo simulation; PID emission control cuts worst-case node-count variance from CV (coefficient of variation) 0.544 (static emission) to 0.087 (PID), functioning as downside insurance under competitor-shock attack.</w:t>
      </w:r>
    </w:p>
    <w:p>
      <w:pPr>
        <w:spacing w:after="28"/>
        <w:ind w:left="320" w:hanging="160"/>
      </w:pPr>
      <w:r>
        <w:t xml:space="preserve">• </w:t>
      </w:r>
      <w:hyperlink r:id="rId23">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 with custody and reporting controls relevant to tokenized payment platforms.</w:t>
      </w:r>
    </w:p>
    <w:p>
      <w:pPr>
        <w:spacing w:after="28"/>
        <w:ind w:left="320" w:hanging="160"/>
      </w:pPr>
      <w:r>
        <w:t xml:space="preserve">• </w:t>
      </w:r>
      <w:hyperlink r:id="rId18">
        <w:r>
          <w:rPr>
            <w:rStyle w:val="Hyperlink"/>
            <w:b/>
          </w:rPr>
          <w:t xml:space="preserve">Auditing Governance Concentration Beyond Token Allocation.</w:t>
        </w:r>
      </w:hyperlink>
      <w:r>
        <w:t xml:space="preserve"> Accepted for publication at Frontiers in Blockchain.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24">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pBdr>
          <w:bottom w:val="single" w:color="AAAAAA" w:sz="3" w:space="1"/>
        </w:pBdr>
        <w:spacing w:before="280" w:after="120"/>
      </w:pPr>
      <w:r>
        <w:rPr>
          <w:rFonts w:ascii="Arial" w:cs="Arial" w:eastAsia="Arial" w:hAnsi="Arial"/>
          <w:b/>
          <w:bCs/>
          <w:color w:val="1A1A1A"/>
          <w:sz w:val="18"/>
          <w:szCs w:val="18"/>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36-skill library and 17-file living-knowledge architecture</w:t>
      </w:r>
    </w:p>
    <w:p>
      <w:pPr>
        <w:pBdr>
          <w:bottom w:val="single" w:color="AAAAAA" w:sz="3" w:space="1"/>
        </w:pBdr>
        <w:spacing w:before="280" w:after="120"/>
      </w:pPr>
      <w:r>
        <w:rPr>
          <w:rFonts w:ascii="Arial" w:cs="Arial" w:eastAsia="Arial" w:hAnsi="Arial"/>
          <w:b/>
          <w:bCs/>
          <w:color w:val="1A1A1A"/>
          <w:sz w:val="18"/>
          <w:szCs w:val="18"/>
        </w:rPr>
        <w:t>RECOGNITION</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19">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8"/>
          <w:szCs w:val="18"/>
        </w:rPr>
        <w:t>FRAMEWORKS AUTHORED</w:t>
      </w:r>
    </w:p>
    <w:p>
      <w:pPr>
        <w:spacing w:after="36"/>
        <w:ind w:left="320" w:hanging="160"/>
      </w:pPr>
      <w:r>
        <w:t>• Control Layer Intensity Index (</w:t>
      </w:r>
      <w:hyperlink r:id="rId25">
        <w:r>
          <w:rPr>
            <w:rStyle w:val="Hyperlink"/>
          </w:rPr>
          <w:t xml:space="preserve">CLII</w:t>
        </w:r>
      </w:hyperlink>
      <w:r>
        <w:t>), Minimum Viable Equivalence Pack (</w:t>
      </w:r>
      <w:hyperlink r:id="rId26">
        <w:r>
          <w:rPr>
            <w:rStyle w:val="Hyperlink"/>
          </w:rPr>
          <w:t xml:space="preserve">MVEP</w:t>
        </w:r>
      </w:hyperlink>
      <w:r>
        <w:t>), MVEP-gated Conditional Pass-Through (</w:t>
      </w:r>
      <w:hyperlink r:id="rId27">
        <w:r>
          <w:rPr>
            <w:rStyle w:val="Hyperlink"/>
          </w:rPr>
          <w:t xml:space="preserve">MGCPT</w:t>
        </w:r>
      </w:hyperlink>
      <w:r>
        <w:t xml:space="preserve">; </w:t>
      </w:r>
      <w:hyperlink r:id="rId13">
        <w:r>
          <w:rPr>
            <w:rStyle w:val="Hyperlink"/>
          </w:rPr>
          <w:t xml:space="preserve">AG19 Rec 7</w:t>
        </w:r>
      </w:hyperlink>
      <w:r>
        <w:t>), Three-Category Reserve Disclosure (</w:t>
      </w:r>
      <w:hyperlink r:id="rId28">
        <w:r>
          <w:rPr>
            <w:rStyle w:val="Hyperlink"/>
          </w:rPr>
          <w:t xml:space="preserve">3CRD</w:t>
        </w:r>
      </w:hyperlink>
      <w:r>
        <w:t>).</w:t>
      </w:r>
    </w:p>
    <w:p>
      <w:pPr>
        <w:pBdr>
          <w:bottom w:val="single" w:color="AAAAAA" w:sz="3" w:space="1"/>
        </w:pBdr>
        <w:spacing w:before="280" w:after="120"/>
      </w:pPr>
      <w:r>
        <w:rPr>
          <w:rFonts w:ascii="Arial" w:cs="Arial" w:eastAsia="Arial" w:hAnsi="Arial"/>
          <w:b/>
          <w:bCs/>
          <w:color w:val="1A1A1A"/>
          <w:sz w:val="18"/>
          <w:szCs w:val="18"/>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r>
        <w:rPr>
          <w:b w:val="0"/>
          <w:i w:val="0"/>
        </w:rPr>
        <w:br/>
        <w:t>· 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7"/>
        <w:szCs w:val="17"/>
      </w:rPr>
    </w:rPrDefault>
    <w:pPrDefault/>
  </w:docDefaults>
  <w:style w:type="paragraph" w:styleId="Title">
    <w:name w:val="Title"/>
    <w:basedOn w:val="Normal"/>
    <w:next w:val="Normal"/>
    <w:qFormat/>
    <w:rPr>
      <w:sz w:val="52"/>
      <w:szCs w:val="52"/>
    </w:rPr>
  </w:style>
  <w:style w:type="paragraph" w:styleId="Heading1">
    <w:name w:val="Heading 1"/>
    <w:basedOn w:val="Normal"/>
    <w:next w:val="Normal"/>
    <w:qFormat/>
    <w:rPr>
      <w:color w:val="2E74B5"/>
      <w:sz w:val="29"/>
      <w:szCs w:val="29"/>
    </w:rPr>
  </w:style>
  <w:style w:type="paragraph" w:styleId="Heading2">
    <w:name w:val="Heading 2"/>
    <w:basedOn w:val="Normal"/>
    <w:next w:val="Normal"/>
    <w:qFormat/>
    <w:rPr>
      <w:color w:val="2E74B5"/>
      <w:sz w:val="24"/>
      <w:szCs w:val="24"/>
    </w:rPr>
  </w:style>
  <w:style w:type="paragraph" w:styleId="Heading3">
    <w:name w:val="Heading 3"/>
    <w:basedOn w:val="Normal"/>
    <w:next w:val="Normal"/>
    <w:qFormat/>
    <w:rPr>
      <w:color w:val="1F4D78"/>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8"/>
      <w:szCs w:val="18"/>
    </w:rPr>
  </w:style>
  <w:style w:type="character" w:styleId="FootnoteTextChar">
    <w:name w:val="Footnote Text Char"/>
    <w:basedOn w:val="DefaultParagraphFont"/>
    <w:link w:val="FootnoteText"/>
    <w:uiPriority w:val="99"/>
    <w:semiHidden/>
    <w:unhideWhenUsed/>
    <w:rPr>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papers/routing-the-dollar/" TargetMode="External"/><Relationship Id="rId7" Type="http://schemas.openxmlformats.org/officeDocument/2006/relationships/hyperlink" Target="https://tokenization.systems/papers/mvep/" TargetMode="External"/><Relationship Id="rId8" Type="http://schemas.openxmlformats.org/officeDocument/2006/relationships/hyperlink" Target="https://tokenization.systems/papers/adaptive-tokenomics/" TargetMode="External"/><Relationship Id="rId10" Type="http://schemas.openxmlformats.org/officeDocument/2006/relationships/hyperlink" Target="https://tokenization.systems/letters/occ-mvep-v4/" TargetMode="External"/><Relationship Id="rId11" Type="http://schemas.openxmlformats.org/officeDocument/2006/relationships/hyperlink" Target="https://tokenization.systems/letters/occ-supplemental/" TargetMode="External"/><Relationship Id="rId12" Type="http://schemas.openxmlformats.org/officeDocument/2006/relationships/hyperlink" Target="https://tokenization.systems/letters/treasury-genius-state-similarity/" TargetMode="External"/><Relationship Id="rId13" Type="http://schemas.openxmlformats.org/officeDocument/2006/relationships/hyperlink" Target="https://tokenization.systems/letters/fdic-ag19-ppsi-activities/" TargetMode="External"/><Relationship Id="rId14" Type="http://schemas.openxmlformats.org/officeDocument/2006/relationships/hyperlink" Target="https://tokenization.systems/letters/fdic-ag20-ppsi-application/" TargetMode="External"/><Relationship Id="rId15" Type="http://schemas.openxmlformats.org/officeDocument/2006/relationships/hyperlink" Target="https://tokenization.systems/letters/fincen-aml-cft/" TargetMode="External"/><Relationship Id="rId16" Type="http://schemas.openxmlformats.org/officeDocument/2006/relationships/hyperlink" Target="https://tokenization.systems/letters/fincen-ofac-ppsi-sanctions/" TargetMode="External"/><Relationship Id="rId17" Type="http://schemas.openxmlformats.org/officeDocument/2006/relationships/hyperlink" Target="https://tokenization.systems/letters/banking-agencies-joint-aml/" TargetMode="External"/><Relationship Id="rId18" Type="http://schemas.openxmlformats.org/officeDocument/2006/relationships/hyperlink" Target="https://tokenization.systems/papers/governance-concentration/" TargetMode="External"/><Relationship Id="rId19" Type="http://schemas.openxmlformats.org/officeDocument/2006/relationships/hyperlink" Target="https://medium.com/borderless-capital/introduction-to-tokenomics-c7af75c09bfe" TargetMode="External"/><Relationship Id="rId20" Type="http://schemas.openxmlformats.org/officeDocument/2006/relationships/hyperlink" Target="https://tokenization.systems/papers/three-strategies/" TargetMode="External"/><Relationship Id="rId21" Type="http://schemas.openxmlformats.org/officeDocument/2006/relationships/hyperlink" Target="https://tokenization.systems/papers/seven-dollars/" TargetMode="External"/><Relationship Id="rId22" Type="http://schemas.openxmlformats.org/officeDocument/2006/relationships/hyperlink" Target="https://tokenization.systems/papers/dollar-v3/" TargetMode="External"/><Relationship Id="rId23" Type="http://schemas.openxmlformats.org/officeDocument/2006/relationships/hyperlink" Target="https://tokenization.systems/papers/operational-risk/" TargetMode="External"/><Relationship Id="rId24" Type="http://schemas.openxmlformats.org/officeDocument/2006/relationships/hyperlink" Target="https://tokenization.systems/papers/who-burns-the-tokens/" TargetMode="External"/><Relationship Id="rId25" Type="http://schemas.openxmlformats.org/officeDocument/2006/relationships/hyperlink" Target="https://tokenization.systems/frameworks/#clii" TargetMode="External"/><Relationship Id="rId26" Type="http://schemas.openxmlformats.org/officeDocument/2006/relationships/hyperlink" Target="https://tokenization.systems/frameworks/#mvep" TargetMode="External"/><Relationship Id="rId27" Type="http://schemas.openxmlformats.org/officeDocument/2006/relationships/hyperlink" Target="https://tokenization.systems/frameworks/#mgcpt" TargetMode="External"/><Relationship Id="rId28" Type="http://schemas.openxmlformats.org/officeDocument/2006/relationships/hyperlink" Target="https://tokenization.systems/frameworks/#3cr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