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TOKENIZED-PRODUCT INVESTMENT MANAGEMENT · DUE DILIGENCE · PORTFOLIO STRATEGY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~$500M AUM · 250 investments (~25% deployment rate) · 1,000+ deals evaluated · LayerZero seed (~80x) · 8 SSRN papers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Tokenization-focused investment management strategist. Founding research hire at Borderless Capital (RIA, Dec 2019 to Feb 2026): sourced the LayerZero seed round (~80x return; thesis preceded the firm's Cross-Chain Ecosystem Fund by two years); led 1,000+ deal pre-seed-to-Series-C funnel; shipped 250 portfolio investments at ~25% deployment rate and ~$500M AUM. Predicted Thorchain's $200M insolvency 13 months in advance via 10-step scenario modeling (Dec 2023 internal memo; failure materialized in Jan 2025), underwriting the firm's no-exposure position. Now founder of Tokenization Systems (Feb 2026 to present), publishing institutional diligence frameworks: Minimum Viable Equivalence Pack (MVEP) for tokenized money-market funds, deposit tokens, payment stablecoins, and yield wrappers; Control Layer Intensity Index (CLII) for stablecoin gateway concentration. Authored eight SSRN papers and contributed eight federal regulatory comment letters across stablecoin and banking dockets.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Capital-markets infrastructure dialogues with Circle and Ubyx on stablecoin and deposit-token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(2024)</w:t>
      </w:r>
    </w:p>
    <w:p>
      <w:pPr>
        <w:spacing w:after="38" w:before="60"/>
      </w:pPr>
      <w:r>
        <w:t>• ETHDenver pitch judge</w:t>
      </w:r>
    </w:p>
    <w:p>
      <w:pPr>
        <w:spacing w:after="38" w:before="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