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60"/>
        <w:jc w:val="center"/>
      </w:pPr>
      <w:r>
        <w:rPr>
          <w:rFonts w:ascii="Arial" w:cs="Arial" w:eastAsia="Arial" w:hAnsi="Arial"/>
          <w:b/>
          <w:bCs/>
          <w:color w:val="1A1A1A"/>
          <w:sz w:val="40"/>
          <w:szCs w:val="40"/>
        </w:rPr>
        <w:t xml:space="preserve">Zach Zukowski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Orlando, FL | Zach@Tokenization.Systems | 407-536-8625</w:t>
      </w:r>
    </w:p>
    <w:p>
      <w:pPr>
        <w:spacing w:after="55" w:before="60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SSRN</w:t>
        </w:r>
      </w:hyperlink>
    </w:p>
    <w:p>
      <w:pPr>
        <w:spacing w:after="15" w:before="60"/>
        <w:jc w:val="center"/>
      </w:pPr>
      <w:r>
        <w:rPr>
          <w:rFonts w:ascii="Arial" w:cs="Arial" w:eastAsia="Arial" w:hAnsi="Arial"/>
          <w:b/>
          <w:bCs/>
          <w:color w:val="1A1A1A"/>
          <w:sz w:val="23"/>
          <w:szCs w:val="23"/>
        </w:rPr>
        <w:t>STABLECOIN &amp; TOKENIZATION RESEARCH · INVESTMENT · REGULATORY ENGAGEMENT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8"/>
          <w:szCs w:val="19"/>
        </w:rPr>
        <w:t>Sourced LayerZero seed (~80x) · 250 investments · ~$500M AUM · 8 SSRN papers · 8 federal comment letters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SUMMARY</w:t>
      </w:r>
    </w:p>
    <w:p>
      <w:pPr>
        <w:spacing w:after="38" w:before="60"/>
      </w:pPr>
      <w:r>
        <w:rPr>
          <w:rFonts w:ascii="Arial" w:cs="Arial" w:eastAsia="Arial" w:hAnsi="Arial"/>
          <w:color w:val="1A1A1A"/>
          <w:sz w:val="19"/>
          <w:szCs w:val="19"/>
        </w:rPr>
        <w:t>Stablecoin and tokenization product strategist. Founding research hire at Borderless Capital (RIA, Dec 2019 to Feb 2026): sourced the LayerZero seed round (~80x return; thesis preceded the firm's Cross-Chain Ecosystem Fund by two years); predicted Thorchain's $200M insolvency 13 months in advance via 10-step scenario modeling (Dec 2023 internal memo; failure materialized in Jan 2025), underwriting the firm's no-exposure position. Now founder of Tokenization Systems (Feb 2026 to present), an independent research and partner-engagement program. Authored an eight-paper SSRN research program: Control Layer Intensity Index (CLII) for gateway concentration; Minimum Viable Equivalence Pack (MVEP) for institutional tokenization diligence; programmable monetary-policy design (Adaptive Tokenomics); governance concentration; operational risk in token economies. Contributed eight comment letters across federal regulatory dockets (OCC bank stablecoin engagement; Treasury GENIUS Act state similarity; FDIC payment-stablecoin reserves and subsidiary issuance; FinCEN AML/CFT and PPSI sanctions; joint banking AML/CFT). Capital-markets infrastructure dialogues with Circle and Ubyx on stablecoin and deposit-token deployment.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– Present</w:t>
      </w:r>
    </w:p>
    <w:p>
      <w:pPr>
        <w:spacing w:after="36" w:before="60"/>
        <w:ind w:left="320" w:hanging="160"/>
      </w:pPr>
      <w:r>
        <w:t xml:space="preserve">• Authored an eight-paper SSRN-live research program covering the </w:t>
      </w:r>
      <w:hyperlink r:id="rId6">
        <w:r>
          <w:rPr>
            <w:rStyle w:val="Hyperlink"/>
            <w:b/>
          </w:rPr>
          <w:t xml:space="preserve">Control Layer Intensity Index</w:t>
        </w:r>
      </w:hyperlink>
      <w:r>
        <w:t xml:space="preserve"> (CLII) for gateway concentration, the </w:t>
      </w:r>
      <w:hyperlink r:id="rId7">
        <w:r>
          <w:rPr>
            <w:rStyle w:val="Hyperlink"/>
            <w:b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8">
        <w:r>
          <w:rPr>
            <w:rStyle w:val="Hyperlink"/>
            <w:b/>
          </w:rPr>
          <w:t xml:space="preserve">Adaptive Tokenomics</w:t>
        </w:r>
      </w:hyperlink>
      <w:r>
        <w:t xml:space="preserve">),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>.</w:t>
      </w:r>
    </w:p>
    <w:p>
      <w:pPr>
        <w:spacing w:after="36" w:before="60"/>
        <w:ind w:left="320" w:hanging="160"/>
      </w:pPr>
      <w:r>
        <w:t xml:space="preserve">• Contributed eight comment letters across a federal regulatory program (OCC bank stablecoin engagement </w:t>
      </w:r>
      <w:hyperlink r:id="rId12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13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4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5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6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7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8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9">
        <w:r>
          <w:rPr>
            <w:rStyle w:val="Hyperlink"/>
          </w:rPr>
          <w:t xml:space="preserve">91 FR 18304</w:t>
        </w:r>
      </w:hyperlink>
      <w:r>
        <w:t xml:space="preserve">); </w:t>
      </w:r>
      <w:hyperlink r:id="rId20">
        <w:r>
          <w:rPr>
            <w:rStyle w:val="Hyperlink"/>
          </w:rPr>
          <w:t xml:space="preserve">Routing the Dollar</w:t>
        </w:r>
      </w:hyperlink>
      <w:r>
        <w:t xml:space="preserve"> submitted to the Federal Reserve Fifth Conference on the Dollar's International Roles (Jun 2026);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 in peer review at Frontiers in Blockchain.</w:t>
      </w:r>
    </w:p>
    <w:p>
      <w:pPr>
        <w:spacing w:after="36" w:before="60"/>
        <w:ind w:left="320" w:hanging="160"/>
      </w:pPr>
      <w:r>
        <w:t>• Capital-markets infrastructure dialogues with Circle and Ubyx on stablecoin and deposit-token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– Feb 2026</w:t>
      </w:r>
    </w:p>
    <w:p>
      <w:pPr>
        <w:spacing w:after="36" w:before="60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; Borderless held no exposure when the predicted failure mode materialized.</w:t>
      </w:r>
    </w:p>
    <w:p>
      <w:pPr>
        <w:spacing w:after="36" w:before="60"/>
        <w:ind w:left="320" w:hanging="160"/>
      </w:pPr>
      <w:r>
        <w:t xml:space="preserve">• Sourced the </w:t>
      </w:r>
      <w:r>
        <w:rPr>
          <w:b/>
        </w:rPr>
        <w:t>LayerZero seed round</w:t>
      </w:r>
      <w:r>
        <w:t xml:space="preserve"> investment for Borderless, returning ~80x; the underlying cross-chain interoperability thesis preceded the firm's Cross-Chain Ecosystem Fund by two years.</w:t>
      </w:r>
    </w:p>
    <w:p>
      <w:pPr>
        <w:spacing w:after="36" w:before="60"/>
        <w:ind w:left="320" w:hanging="160"/>
      </w:pPr>
      <w:r>
        <w:t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spacing w:after="36" w:before="60"/>
        <w:ind w:left="320" w:hanging="160"/>
      </w:pPr>
      <w:r>
        <w:t>• Prevented hostile governance capture on a top-25 blockchain via voting-path simulation under coalition-attack scenarios; surfaced the vulnerability and mitigation route before exploitation.</w:t>
      </w:r>
    </w:p>
    <w:p>
      <w:pPr>
        <w:spacing w:after="36" w:before="60"/>
        <w:ind w:left="320" w:hanging="160"/>
      </w:pPr>
      <w:r>
        <w:t>• Led discovery and diligence across a 1,000+ deal investment funnel (pre-seed to Series C); shipped 250 portfolio investments at ~25% deployment rate across ~10 institutional funds (~$500M AUM), with build/partner/hold recommendations to committee.</w:t>
      </w:r>
    </w:p>
    <w:p>
      <w:pPr>
        <w:spacing w:after="36" w:before="60"/>
        <w:ind w:left="320" w:hanging="160"/>
      </w:pPr>
      <w:r>
        <w:t xml:space="preserve">• Advised 100 portfolio companies 1-on-1 on token mechanism design (stablecoin reserves, governance-token allocation and incentive design, yield wrappers, burn/emission dynamics); standards defined in </w:t>
      </w:r>
      <w:hyperlink r:id="rId21">
        <w:r>
          <w:rPr>
            <w:rStyle w:val="Hyperlink"/>
            <w:b/>
          </w:rPr>
          <w:t xml:space="preserve">Introduction to Tokenomics</w:t>
        </w:r>
      </w:hyperlink>
      <w:r>
        <w:t>.</w:t>
      </w:r>
    </w:p>
    <w:p>
      <w:pPr>
        <w:spacing w:after="36" w:before="60"/>
        <w:ind w:left="320" w:hanging="160"/>
      </w:pPr>
      <w:r>
        <w:t>• Built quantitative token-economic models forecasting emissions, fee capture, subsidy-to-revenue trajectories, and governance concentration under wide scenario ranges; supply-equilibrium and slashing dynamics supporting Layer 1 mechanism-design advisory.</w:t>
      </w:r>
    </w:p>
    <w:p>
      <w:pPr>
        <w:spacing w:after="36" w:before="60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spacing w:after="36" w:before="60"/>
        <w:ind w:left="320" w:hanging="160"/>
      </w:pPr>
      <w:r>
        <w:t>• Mapped jurisdictional tax / regulatory advantages of DAT structures over direct crypto holding: Japan's Metaplanet DAT cuts crypto capital-gains tax from up to 55% to 20% (equity rate, further reducible via Japan's IRA structure); Hong Kong's Southbound Connect could give mainland Chinese capital regulated access to crypto banned domestically.</w:t>
      </w:r>
    </w:p>
    <w:p>
      <w:pPr>
        <w:pageBreakBefore/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SELECTED RESEARCH</w:t>
      </w:r>
    </w:p>
    <w:p>
      <w:pPr>
        <w:spacing w:after="28" w:before="60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Routing the Dollar.</w:t>
        </w:r>
      </w:hyperlink>
      <w:r>
        <w:t xml:space="preserve"> Submitted to Federal Reserve / FRBNY Fifth Conference on the Dollar's International Roles (Jun 2026). Gateway concentration; CLII across 19 gateways including Visa Direct-adjacent paths.</w:t>
      </w:r>
    </w:p>
    <w:p>
      <w:pPr>
        <w:spacing w:after="28" w:before="60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 w:before="60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products; CLII / MVEP decoupling; stress propagation through dependency chains (SVB, Circle pool, Paxos).</w:t>
      </w:r>
    </w:p>
    <w:p>
      <w:pPr>
        <w:spacing w:after="28" w:before="60"/>
        <w:ind w:left="320" w:hanging="160"/>
      </w:pPr>
      <w:r>
        <w:t xml:space="preserve">• </w:t>
      </w:r>
      <w:hyperlink r:id="rId7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scale.</w:t>
      </w:r>
    </w:p>
    <w:p>
      <w:pPr>
        <w:spacing w:after="28" w:before="60"/>
        <w:ind w:left="320" w:hanging="160"/>
      </w:pPr>
      <w:r>
        <w:t xml:space="preserve">• </w:t>
      </w:r>
      <w:hyperlink r:id="rId8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 controller) applied to token-supply emission as programmable monetary-policy mechanism; 240-scenario Monte Carlo simulation; cuts worst-case supply volatility ~6x under competitor-shock attack.</w:t>
      </w:r>
    </w:p>
    <w:p>
      <w:pPr>
        <w:spacing w:after="28" w:before="60"/>
        <w:ind w:left="320" w:hanging="160"/>
      </w:pPr>
      <w:r>
        <w:t xml:space="preserve">• </w:t>
      </w:r>
      <w:hyperlink r:id="rId11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 w:before="60"/>
        <w:ind w:left="320" w:hanging="160"/>
      </w:pPr>
      <w:r>
        <w:t xml:space="preserve">• </w:t>
      </w:r>
      <w:hyperlink r:id="rId10">
        <w:r>
          <w:rPr>
            <w:rStyle w:val="Hyperlink"/>
            <w:b/>
          </w:rPr>
          <w:t xml:space="preserve">Governance Concentration Beyond Token Allocation.</w:t>
        </w:r>
      </w:hyperlink>
      <w:r>
        <w:t xml:space="preserve"> In peer review at Frontiers in Blockchain. 40-protocol cross-section: initial token allocation does not predict governance concentration; protocol sector does (DePIN significantly more concentrated than DeFi; Cohen's d = 0.96).</w:t>
      </w:r>
    </w:p>
    <w:p>
      <w:pPr>
        <w:spacing w:after="28" w:before="60"/>
        <w:ind w:left="320" w:hanging="160"/>
      </w:pPr>
      <w:r>
        <w:t xml:space="preserve">• </w:t>
      </w:r>
      <w:hyperlink r:id="rId24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TECHNICAL</w:t>
      </w:r>
    </w:p>
    <w:p>
      <w:pPr>
        <w:spacing w:after="22" w:before="60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 w:before="60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 w:before="60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14 custom Python MCP servers wrapping the data sources above plus GitHub; Claude.ai + Claude Code + Cursor with 36-skill library and 17-file living-knowledge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RECOGNITION</w:t>
      </w:r>
    </w:p>
    <w:p>
      <w:pPr>
        <w:spacing w:after="36" w:before="60"/>
        <w:ind w:left="320" w:hanging="160"/>
      </w:pPr>
      <w:r>
        <w:t>• Uniswap Foundation governance committee (2024)</w:t>
      </w:r>
    </w:p>
    <w:p>
      <w:pPr>
        <w:spacing w:after="36" w:before="60"/>
        <w:ind w:left="320" w:hanging="160"/>
      </w:pPr>
      <w:r>
        <w:t>• ETHDenver pitch judge</w:t>
      </w:r>
    </w:p>
    <w:p>
      <w:pPr>
        <w:spacing w:after="36" w:before="60"/>
        <w:ind w:left="320" w:hanging="160"/>
      </w:pPr>
      <w:r>
        <w:t xml:space="preserve">• </w:t>
      </w:r>
      <w:hyperlink r:id="rId21">
        <w:r>
          <w:rPr>
            <w:rStyle w:val="Hyperlink"/>
            <w:b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EDUCATION</w:t>
      </w:r>
    </w:p>
    <w:p>
      <w:pPr>
        <w:tabs>
          <w:tab w:val="right" w:pos="10320"/>
        </w:tabs>
        <w:spacing w:after="0" w:before="6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High Point University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| B.S.B.A., Business Administration (Magna Cum Laude) · Investment Club President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2018</w:t>
      </w:r>
    </w:p>
    <w:p>
      <w:pPr>
        <w:spacing w:after="0" w:before="60"/>
      </w:pPr>
      <w:r>
        <w:rPr>
          <w:rFonts w:ascii="Arial" w:cs="Arial" w:eastAsia="Arial" w:hAnsi="Arial"/>
          <w:color w:val="444444"/>
          <w:sz w:val="18"/>
          <w:szCs w:val="18"/>
        </w:rPr>
        <w:t>Lingnan University, Hong Kong (Exchange)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7810362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control-layer-war/" TargetMode="External"/><Relationship Id="rId7" Type="http://schemas.openxmlformats.org/officeDocument/2006/relationships/hyperlink" Target="https://tokenization.systems/papers/mvep/" TargetMode="External"/><Relationship Id="rId8" Type="http://schemas.openxmlformats.org/officeDocument/2006/relationships/hyperlink" Target="https://tokenization.systems/papers/adaptive-tokenomics/" TargetMode="External"/><Relationship Id="rId10" Type="http://schemas.openxmlformats.org/officeDocument/2006/relationships/hyperlink" Target="https://tokenization.systems/papers/governance-concentration/" TargetMode="External"/><Relationship Id="rId11" Type="http://schemas.openxmlformats.org/officeDocument/2006/relationships/hyperlink" Target="https://tokenization.systems/papers/operational-risk/" TargetMode="External"/><Relationship Id="rId12" Type="http://schemas.openxmlformats.org/officeDocument/2006/relationships/hyperlink" Target="https://tokenization.systems/letters/occ-mvep-v4/" TargetMode="External"/><Relationship Id="rId13" Type="http://schemas.openxmlformats.org/officeDocument/2006/relationships/hyperlink" Target="https://tokenization.systems/letters/occ-supplemental/" TargetMode="External"/><Relationship Id="rId14" Type="http://schemas.openxmlformats.org/officeDocument/2006/relationships/hyperlink" Target="https://tokenization.systems/letters/treasury-genius-state-similarity/" TargetMode="External"/><Relationship Id="rId15" Type="http://schemas.openxmlformats.org/officeDocument/2006/relationships/hyperlink" Target="https://tokenization.systems/letters/fdic-ag19-ppsi-activities/" TargetMode="External"/><Relationship Id="rId16" Type="http://schemas.openxmlformats.org/officeDocument/2006/relationships/hyperlink" Target="https://tokenization.systems/letters/fdic-ag20-ppsi-application/" TargetMode="External"/><Relationship Id="rId17" Type="http://schemas.openxmlformats.org/officeDocument/2006/relationships/hyperlink" Target="https://tokenization.systems/letters/fincen-aml-cft/" TargetMode="External"/><Relationship Id="rId18" Type="http://schemas.openxmlformats.org/officeDocument/2006/relationships/hyperlink" Target="https://tokenization.systems/letters/fincen-ofac-ppsi-sanctions/" TargetMode="External"/><Relationship Id="rId19" Type="http://schemas.openxmlformats.org/officeDocument/2006/relationships/hyperlink" Target="https://tokenization.systems/letters/banking-agencies-joint-aml/" TargetMode="External"/><Relationship Id="rId20" Type="http://schemas.openxmlformats.org/officeDocument/2006/relationships/hyperlink" Target="https://tokenization.systems/papers/routing-the-dollar/" TargetMode="External"/><Relationship Id="rId21" Type="http://schemas.openxmlformats.org/officeDocument/2006/relationships/hyperlink" Target="https://medium.com/borderless-capital/introduction-to-tokenomics-c7af75c09bfe" TargetMode="External"/><Relationship Id="rId22" Type="http://schemas.openxmlformats.org/officeDocument/2006/relationships/hyperlink" Target="https://tokenization.systems/papers/three-strategies/" TargetMode="External"/><Relationship Id="rId23" Type="http://schemas.openxmlformats.org/officeDocument/2006/relationships/hyperlink" Target="https://tokenization.systems/papers/seven-dollars/" TargetMode="External"/><Relationship Id="rId24" Type="http://schemas.openxmlformats.org/officeDocument/2006/relationships/hyperlink" Target="https://tokenization.systems/papers/who-burns-the-tokens/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