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POLICY · REGULATORY TRANSLATION · FEDERAL COMMENT LETTERS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13 federal comment letters · FSB AI consultation response · 8 SSRN papers · Dialogues across national security think tanks, securities exchanges, Central Securities Depositories, payments messaging, tier⁠-⁠1 banks, SEC⁠-⁠registered transfer agents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15">
        <w:r>
          <w:rPr>
            <w:rStyle w:val="Hyperlink"/>
          </w:rPr>
          <w:t xml:space="preserve">FSB AI Sound Practices consultation response</w:t>
        </w:r>
      </w:hyperlink>
      <w:r>
        <w:t xml:space="preserve"> (Jul 2026), applying the MVEP-AI / CLII-AI operator-accountability extensions.</w:t>
      </w:r>
    </w:p>
    <w:p>
      <w:pPr>
        <w:spacing w:after="36"/>
        <w:ind w:left="320" w:hanging="160"/>
      </w:pPr>
      <w:r>
        <w:t xml:space="preserve">•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18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9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20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7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8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9">
        <w:r>
          <w:rPr>
            <w:rStyle w:val="Hyperlink"/>
          </w:rPr>
          <w:t xml:space="preserve">MGCPT</w:t>
        </w:r>
      </w:hyperlink>
      <w:r>
        <w:t xml:space="preserve">; </w:t>
      </w:r>
      <w:hyperlink r:id="rId10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0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letters/fsb-ai-sound-practices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tokenization.systems/papers/control-layer-war/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adaptive-tokenomics/" TargetMode="External"/><Relationship Id="rId21" Type="http://schemas.openxmlformats.org/officeDocument/2006/relationships/hyperlink" Target="https://tokenization.systems/papers/operational-risk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hree-strategies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tokenization.systems/frameworks/#clii" TargetMode="External"/><Relationship Id="rId28" Type="http://schemas.openxmlformats.org/officeDocument/2006/relationships/hyperlink" Target="https://tokenization.systems/frameworks/#mvep" TargetMode="External"/><Relationship Id="rId29" Type="http://schemas.openxmlformats.org/officeDocument/2006/relationships/hyperlink" Target="https://tokenization.systems/frameworks/#mgcpt" TargetMode="External"/><Relationship Id="rId30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