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 AUM · 250 investments (~25% deployment rate) · ~75 DATs analyzed, 18 invested · LayerZero seed (~80x)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 Built apples-to-apples Multiple on NAV (mNAV) methodology standardizing DAT cross-issuer comparison; daily mNAV dashboard sources SEC filings and press releases.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Tokenized Equity Vehicles.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