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DIGITAL ASSET PRODUCT · TOKENIZED MONEY AND PAYMENTS · INSTITUTIONAL DILIGENCE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8"/>
          <w:szCs w:val="19"/>
        </w:rPr>
        <w:t>1,000+ deal funnel · 100 portfolio companies advised 1-on-1 · LayerZero seed (~80x) · Thorchain $200M insolvency modeled 13 months ahead · 8 SSRN papers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>Digital asset product strategist across stablecoin, deposit-token, tokenized-MMF, and on-chain payment products. Founding research hire at Borderless Capital (RIA, Dec 2019 to Feb 2026): sourced the LayerZero seed round (~80x return; thesis preceded the firm's Cross-Chain Ecosystem Fund by two years); predicted Thorchain's $200M insolvency 13 months in advance via 10-step scenario modeling (Dec 2023 internal memo; failure materialized in Jan 2025), underwriting the firm's no-exposure position. Now founder of Tokenization Systems (Feb 2026 to present), an independent research and partner-engagement program. Authored an eight-paper SSRN research program: Control Layer Intensity Index (CLII) for stablecoin gateway and payment-rail concentration; Minimum Viable Equivalence Pack (MVEP) for institutional tokenization diligence; programmable monetary-policy design (Adaptive Tokenomics); governance concentration; operational risk in token economies. Contributed eight comment letters across federal regulatory dockets (OCC bank stablecoin engagement; Treasury GENIUS Act state similarity; FDIC payment-stablecoin reserves and subsidiary issuance; FinCEN AML/CFT and PPSI sanctions; joint banking AML/CFT).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–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16">
        <w:r>
          <w:rPr>
            <w:rStyle w:val="Hyperlink"/>
            <w:b/>
          </w:rPr>
          <w:t>Control Layer Intensity Index</w:t>
        </w:r>
      </w:hyperlink>
      <w:r>
        <w:t xml:space="preserve"> (CLII) for stablecoin gateway and payment-rail concentration, the </w:t>
      </w:r>
      <w:hyperlink r:id="rId21">
        <w:r>
          <w:rPr>
            <w:rStyle w:val="Hyperlink"/>
            <w:b/>
          </w:rPr>
          <w:t>Minimum Viable Equivalence Pack</w:t>
        </w:r>
      </w:hyperlink>
      <w:r>
        <w:t xml:space="preserve"> (MVEP) for institutional tokenization diligence, programmable monetary-policy design (</w:t>
      </w:r>
      <w:hyperlink r:id="rId6">
        <w:r>
          <w:rPr>
            <w:rStyle w:val="Hyperlink"/>
            <w:b/>
          </w:rPr>
          <w:t xml:space="preserve">Adaptive Tokenomics</w:t>
        </w:r>
      </w:hyperlink>
      <w:r>
        <w:t xml:space="preserve">), governance concentration, and operational risk in token economies.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7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8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0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1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2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3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4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5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16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7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– Feb 2026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; Borderless held no exposure when the predicted failure mode materialized.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 xml:space="preserve"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 xml:space="preserve"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18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 w:before="60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6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19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Dollar v3. Four digital-dollar objects (payment stablecoins, tokenized deposits, deposit tokens, yield wrappers); typology for inheritance of control environments, backstop expectations, and failure modes; load-bearing for PM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 w:before="60"/>
        <w:ind w:left="320" w:hanging="160"/>
      </w:pPr>
      <w:r>
        <w:t xml:space="preserve">• </w:t>
      </w:r>
      <w:hyperlink r:id="rId6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PID emission control cuts worst-case node-count variance from CV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 with custody and reporting controls relevant to tokenized payment platforms.</w:t>
      </w:r>
    </w:p>
    <w:p>
      <w:pPr>
        <w:spacing w:after="28" w:before="60"/>
        <w:ind w:left="320" w:hanging="160"/>
      </w:pPr>
      <w:r>
        <w:t xml:space="preserve">• </w:t>
      </w:r>
      <w:hyperlink r:id="rId17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  <w:r/>
    </w:p>
    <w:p>
      <w:pPr>
        <w:spacing w:after="22" w:before="60"/>
      </w:pPr>
      <w:r>
        <w:rPr>
          <w:b/>
        </w:rPr>
        <w:t>Stack: Python (pandas, statsmodels, scipy, matplotlib), R (fixest, did, synthdid), SQL (DuneSQL, Trino), JavaScript / TypeScript; 14 custom Python MCP servers wrapping the data sources above plus GitHub; Claude.ai + Claude Code + Cursor with 36-skill library and 17-file living-knowledge architecture</w:t>
      </w:r>
      <w:r/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(2024)</w:t>
      </w:r>
    </w:p>
    <w:p>
      <w:pPr>
        <w:spacing w:after="36" w:before="60"/>
        <w:ind w:left="320" w:hanging="160"/>
      </w:pPr>
      <w:r>
        <w:t>• ETHDenver pitch judge</w:t>
      </w:r>
    </w:p>
    <w:p>
      <w:pPr>
        <w:spacing w:after="36" w:before="60"/>
        <w:ind w:left="320" w:hanging="160"/>
      </w:pPr>
      <w:r>
        <w:t xml:space="preserve">• </w:t>
      </w:r>
      <w:hyperlink r:id="rId18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6" w:before="60"/>
        <w:ind w:left="320" w:hanging="160"/>
      </w:pPr>
      <w:r>
        <w:t>• Authored CLII (A1), MVEP (A2), MGCPT, TCRD; drafted MVEP-AI (eight-skill suite) and CLII-AI.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 · Lingnan University, Hong Kong (exchange)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adaptive-tokenomics/" TargetMode="External"/><Relationship Id="rId7" Type="http://schemas.openxmlformats.org/officeDocument/2006/relationships/hyperlink" Target="https://tokenization.systems/letters/occ-mvep-v4/" TargetMode="External"/><Relationship Id="rId8" Type="http://schemas.openxmlformats.org/officeDocument/2006/relationships/hyperlink" Target="https://tokenization.systems/letters/occ-supplemental/" TargetMode="External"/><Relationship Id="rId10" Type="http://schemas.openxmlformats.org/officeDocument/2006/relationships/hyperlink" Target="https://tokenization.systems/letters/treasury-genius-state-similarity/" TargetMode="External"/><Relationship Id="rId11" Type="http://schemas.openxmlformats.org/officeDocument/2006/relationships/hyperlink" Target="https://tokenization.systems/letters/fdic-ag19-ppsi-activities/" TargetMode="External"/><Relationship Id="rId12" Type="http://schemas.openxmlformats.org/officeDocument/2006/relationships/hyperlink" Target="https://tokenization.systems/letters/fdic-ag20-ppsi-application/" TargetMode="External"/><Relationship Id="rId13" Type="http://schemas.openxmlformats.org/officeDocument/2006/relationships/hyperlink" Target="https://tokenization.systems/letters/fincen-aml-cft/" TargetMode="External"/><Relationship Id="rId14" Type="http://schemas.openxmlformats.org/officeDocument/2006/relationships/hyperlink" Target="https://tokenization.systems/letters/fincen-ofac-ppsi-sanctions/" TargetMode="External"/><Relationship Id="rId15" Type="http://schemas.openxmlformats.org/officeDocument/2006/relationships/hyperlink" Target="https://tokenization.systems/letters/banking-agencies-joint-aml/" TargetMode="External"/><Relationship Id="rId16" Type="http://schemas.openxmlformats.org/officeDocument/2006/relationships/hyperlink" Target="https://tokenization.systems/papers/routing-the-dollar/" TargetMode="External"/><Relationship Id="rId17" Type="http://schemas.openxmlformats.org/officeDocument/2006/relationships/hyperlink" Target="https://tokenization.systems/papers/governance-concentration/" TargetMode="External"/><Relationship Id="rId18" Type="http://schemas.openxmlformats.org/officeDocument/2006/relationships/hyperlink" Target="https://medium.com/borderless-capital/introduction-to-tokenomics-c7af75c09bfe" TargetMode="External"/><Relationship Id="rId19" Type="http://schemas.openxmlformats.org/officeDocument/2006/relationships/hyperlink" Target="https://tokenization.systems/papers/three-strategies/" TargetMode="External"/><Relationship Id="rId20" Type="http://schemas.openxmlformats.org/officeDocument/2006/relationships/hyperlink" Target="https://tokenization.systems/papers/seven-dollars/" TargetMode="External"/><Relationship Id="rId21" Type="http://schemas.openxmlformats.org/officeDocument/2006/relationships/hyperlink" Target="https://tokenization.systems/papers/mvep/" TargetMode="External"/><Relationship Id="rId22" Type="http://schemas.openxmlformats.org/officeDocument/2006/relationships/hyperlink" Target="https://tokenization.systems/papers/operational-risk/" TargetMode="External"/><Relationship Id="rId23" Type="http://schemas.openxmlformats.org/officeDocument/2006/relationships/hyperlink" Target="https://tokenization.systems/papers/who-burns-the-tokens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