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AI CONTROL⁠-⁠LAYER ACCOUNTABILITY</w:t>
        <w:br/>
      </w:r>
      <w:r>
        <w:rPr>
          <w:rFonts w:ascii="Arial" w:cs="Arial" w:eastAsia="Arial" w:hAnsi="Arial"/>
          <w:b/>
          <w:bCs/>
          <w:color w:val="1A1A1A"/>
          <w:sz w:val="23"/>
          <w:szCs w:val="23"/>
        </w:rPr>
        <w:t>· MACHINE⁠-⁠READABLE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22 MCP + API connections · ~75 DATs analyzed · Diligence⁠-⁠doc review 4hr to 1hr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>• Filed a US provisional patent for the Canonical-State Architecture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 (45 claims); validated across ~1,521 commits and 4 to 6 parallel AI coding sessions over ~4 months, with a companion 62-page methodology preprint.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