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 w:before="60"/>
        <w:jc w:val="center"/>
      </w:pPr>
      <w:r>
        <w:rPr>
          <w:rFonts w:ascii="Arial" w:cs="Arial" w:eastAsia="Arial" w:hAnsi="Arial"/>
          <w:b/>
          <w:bCs/>
          <w:color w:val="1A1A1A"/>
          <w:sz w:val="36"/>
          <w:szCs w:val="36"/>
        </w:rPr>
        <w:t xml:space="preserve">Zach Zukowski</w:t>
      </w:r>
    </w:p>
    <w:p>
      <w:pPr>
        <w:spacing w:after="10" w:before="60"/>
        <w:jc w:val="center"/>
      </w:pPr>
      <w:r>
        <w:rPr>
          <w:rFonts w:ascii="Arial" w:cs="Arial" w:eastAsia="Arial" w:hAnsi="Arial"/>
          <w:color w:val="444444"/>
          <w:sz w:val="19"/>
          <w:szCs w:val="19"/>
        </w:rPr>
        <w:t xml:space="preserve">Orlando, FL | Zach@Tokenization.Systems | 407-536-8625</w:t>
      </w:r>
    </w:p>
    <w:p>
      <w:pPr>
        <w:spacing w:after="55" w:before="60"/>
        <w:jc w:val="center"/>
      </w:pPr>
      <w:hyperlink w:history="1" r:id="rIdtk3pkbjp0bnea-khivcha">
        <w:r>
          <w:rPr>
            <w:rFonts w:ascii="Arial" w:cs="Arial" w:eastAsia="Arial" w:hAnsi="Arial"/>
            <w:color w:val="2255AA"/>
            <w:sz w:val="19"/>
            <w:szCs w:val="19"/>
          </w:rPr>
          <w:t xml:space="preserve">Tokenization.Systems</w:t>
        </w:r>
      </w:hyperlink>
      <w:r>
        <w:rPr>
          <w:rFonts w:ascii="Arial" w:cs="Arial" w:eastAsia="Arial" w:hAnsi="Arial"/>
          <w:color w:val="444444"/>
          <w:sz w:val="19"/>
          <w:szCs w:val="19"/>
        </w:rPr>
        <w:t xml:space="preserve">  |  </w:t>
      </w:r>
      <w:hyperlink w:history="1" r:id="rIdnnxna0daueqz2sdxissom">
        <w:r>
          <w:rPr>
            <w:rFonts w:ascii="Arial" w:cs="Arial" w:eastAsia="Arial" w:hAnsi="Arial"/>
            <w:color w:val="2255AA"/>
            <w:sz w:val="19"/>
            <w:szCs w:val="19"/>
          </w:rPr>
          <w:t xml:space="preserve">LinkedIn</w:t>
        </w:r>
      </w:hyperlink>
      <w:r>
        <w:rPr>
          <w:rFonts w:ascii="Arial" w:cs="Arial" w:eastAsia="Arial" w:hAnsi="Arial"/>
          <w:color w:val="444444"/>
          <w:sz w:val="19"/>
          <w:szCs w:val="19"/>
        </w:rPr>
        <w:t xml:space="preserve">  |  </w:t>
      </w:r>
      <w:hyperlink w:history="1" r:id="rIdrdmpe-g4zsyvawvrrkisd">
        <w:r>
          <w:rPr>
            <w:rFonts w:ascii="Arial" w:cs="Arial" w:eastAsia="Arial" w:hAnsi="Arial"/>
            <w:color w:val="2255AA"/>
            <w:sz w:val="19"/>
            <w:szCs w:val="19"/>
          </w:rPr>
          <w:t xml:space="preserve">SSRN</w:t>
        </w:r>
      </w:hyperlink>
    </w:p>
    <w:p>
      <w:pPr>
        <w:spacing w:after="15" w:before="60"/>
        <w:jc w:val="center"/>
      </w:pPr>
      <w:r>
        <w:rPr>
          <w:rFonts w:ascii="Arial" w:cs="Arial" w:eastAsia="Arial" w:hAnsi="Arial"/>
          <w:b/>
          <w:bCs/>
          <w:color w:val="1A1A1A"/>
          <w:sz w:val="23"/>
          <w:szCs w:val="23"/>
        </w:rPr>
        <w:t>FOUNDER, TOKENIZATION SYSTEMS · STABLECOIN &amp; PAYMENTS · INSTITUTIONAL DILIGENCE · REGULATORY ENGAGEMENT</w:t>
      </w:r>
    </w:p>
    <w:p>
      <w:pPr>
        <w:spacing w:after="10" w:before="60"/>
        <w:jc w:val="center"/>
      </w:pPr>
      <w:r>
        <w:rPr>
          <w:rFonts w:ascii="Arial" w:cs="Arial" w:eastAsia="Arial" w:hAnsi="Arial"/>
          <w:color w:val="444444"/>
          <w:sz w:val="14"/>
          <w:szCs w:val="19"/>
        </w:rPr>
        <w:t>· Sourced LayerZero seed (~80x) · CLII across 19 stablecoin gateways · 100 portfolio companies advised 1⁠-⁠on⁠-⁠1 (50+ multi⁠-⁠session) · 8 SSRN papers · 8 federal comment letters · Patent⁠-⁠pending Canonical⁠-⁠State Architecture for multi⁠-⁠agent AI research (USPTO 64/071,767)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SUMMARY</w:t>
      </w:r>
    </w:p>
    <w:p>
      <w:pPr>
        <w:spacing w:after="40" w:before="60"/>
      </w:pPr>
      <w:r>
        <w:rPr>
          <w:rFonts w:ascii="Arial" w:cs="Arial" w:eastAsia="Arial" w:hAnsi="Arial"/>
          <w:color w:val="1A1A1A"/>
          <w:sz w:val="19"/>
          <w:szCs w:val="19"/>
        </w:rPr>
        <w:t>Stablecoin and tokenization strategist who turns control-layer and operator-accountability research into deployment and diligence decisions, from federal dockets to capital-markets infrastructure. Founder of Tokenization Systems; first research hire at Borderless Capital, an RIA.</w:t>
      </w:r>
    </w:p>
    <w:p>
      <w:pPr>
        <w:spacing w:after="40" w:before="0"/>
      </w:pPr>
      <w:r>
        <w:rPr>
          <w:rFonts w:ascii="Arial" w:cs="Arial" w:eastAsia="Arial" w:hAnsi="Arial"/>
          <w:color w:val="1A1A1A"/>
          <w:sz w:val="19"/>
          <w:szCs w:val="19"/>
        </w:rPr>
        <w:t>Focus: stablecoin and tokenization diligence, control-layer concentration, operational risk, token-economic modeling · difference-in-differences, Monte Carlo, scenario modeling · OCC, FDIC, FinCEN, Treasury GENIUS, MiCA, Singapore MAS.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EXPERIENCE</w:t>
      </w:r>
    </w:p>
    <w:p>
      <w:pPr>
        <w:tabs>
          <w:tab w:val="right" w:pos="10320"/>
        </w:tabs>
        <w:spacing w:after="40" w:before="160"/>
      </w:pPr>
      <w:r>
        <w:rPr>
          <w:b/>
        </w:rPr>
        <w:t>Founder</w:t>
      </w:r>
      <w:r>
        <w:t xml:space="preserve"> · Tokenization Systems</w:t>
      </w:r>
      <w:r>
        <w:tab/>
      </w:r>
      <w:r>
        <w:rPr>
          <w:i/>
        </w:rPr>
        <w:t>Feb 2026 to Present</w:t>
      </w:r>
    </w:p>
    <w:p>
      <w:pPr>
        <w:spacing w:after="36" w:before="60"/>
        <w:ind w:left="320" w:hanging="160"/>
      </w:pPr>
      <w:r>
        <w:t xml:space="preserve">• Authored an eight-paper SSRN-live research program covering the </w:t>
      </w:r>
      <w:hyperlink r:id="rId6">
        <w:r>
          <w:rPr>
            <w:rStyle w:val="Hyperlink"/>
            <w:b/>
          </w:rPr>
          <w:t xml:space="preserve">Control Layer Intensity Index</w:t>
        </w:r>
      </w:hyperlink>
      <w:r>
        <w:t xml:space="preserve"> (CLII) for gateway concentration, the </w:t>
      </w:r>
      <w:hyperlink r:id="rId7">
        <w:r>
          <w:rPr>
            <w:rStyle w:val="Hyperlink"/>
            <w:b/>
          </w:rPr>
          <w:t xml:space="preserve">Minimum Viable Equivalence Pack</w:t>
        </w:r>
      </w:hyperlink>
      <w:r>
        <w:t xml:space="preserve"> (MVEP) for institutional tokenization diligence, programmable monetary-policy design (</w:t>
      </w:r>
      <w:hyperlink r:id="rId8">
        <w:r>
          <w:rPr>
            <w:rStyle w:val="Hyperlink"/>
            <w:b/>
          </w:rPr>
          <w:t xml:space="preserve">Adaptive Tokenomics</w:t>
        </w:r>
      </w:hyperlink>
      <w:r>
        <w:t xml:space="preserve">), </w:t>
      </w:r>
      <w:hyperlink r:id="rId10">
        <w:r>
          <w:rPr>
            <w:rStyle w:val="Hyperlink"/>
          </w:rPr>
          <w:t xml:space="preserve">governance concentration</w:t>
        </w:r>
      </w:hyperlink>
      <w:r>
        <w:t xml:space="preserve">, and </w:t>
      </w:r>
      <w:hyperlink r:id="rId11">
        <w:r>
          <w:rPr>
            <w:rStyle w:val="Hyperlink"/>
          </w:rPr>
          <w:t xml:space="preserve">operational risk in token economies</w:t>
        </w:r>
      </w:hyperlink>
      <w:r>
        <w:t xml:space="preserve">. Three additional papers in development (B5 Bankruptcy-Priority Misaligned Incentives, A7 Control Layer Theory, SVB Reserve Concentration); methodology paper in preparation.</w:t>
      </w:r>
    </w:p>
    <w:p>
      <w:pPr>
        <w:spacing w:after="36" w:before="60"/>
        <w:ind w:left="320" w:hanging="160"/>
      </w:pPr>
      <w:r>
        <w:t xml:space="preserve">• Contributed eight comment letters across a federal regulatory program (OCC bank stablecoin engagement </w:t>
      </w:r>
      <w:hyperlink r:id="rId12">
        <w:r>
          <w:rPr>
            <w:rStyle w:val="Hyperlink"/>
          </w:rPr>
          <w:t xml:space="preserve">RIN 1557-AF41</w:t>
        </w:r>
      </w:hyperlink>
      <w:r>
        <w:t xml:space="preserve"> plus </w:t>
      </w:r>
      <w:hyperlink r:id="rId13">
        <w:r>
          <w:rPr>
            <w:rStyle w:val="Hyperlink"/>
          </w:rPr>
          <w:t xml:space="preserve">supplemental control-layer extension</w:t>
        </w:r>
      </w:hyperlink>
      <w:r>
        <w:t xml:space="preserve">; </w:t>
      </w:r>
      <w:hyperlink r:id="rId14">
        <w:r>
          <w:rPr>
            <w:rStyle w:val="Hyperlink"/>
          </w:rPr>
          <w:t xml:space="preserve">Treasury GENIUS Act state similarity</w:t>
        </w:r>
      </w:hyperlink>
      <w:r>
        <w:t xml:space="preserve">; FDIC payment-stablecoin reserve standards </w:t>
      </w:r>
      <w:hyperlink r:id="rId15">
        <w:r>
          <w:rPr>
            <w:rStyle w:val="Hyperlink"/>
          </w:rPr>
          <w:t xml:space="preserve">RIN 3064-AG19</w:t>
        </w:r>
      </w:hyperlink>
      <w:r>
        <w:t xml:space="preserve"> and stablecoin-subsidiary issuance approvals </w:t>
      </w:r>
      <w:hyperlink r:id="rId16">
        <w:r>
          <w:rPr>
            <w:rStyle w:val="Hyperlink"/>
          </w:rPr>
          <w:t xml:space="preserve">RIN 3064-AG20</w:t>
        </w:r>
      </w:hyperlink>
      <w:r>
        <w:t xml:space="preserve">; FinCEN AML/CFT </w:t>
      </w:r>
      <w:hyperlink r:id="rId17">
        <w:r>
          <w:rPr>
            <w:rStyle w:val="Hyperlink"/>
          </w:rPr>
          <w:t xml:space="preserve">FINCEN-2026-0034</w:t>
        </w:r>
      </w:hyperlink>
      <w:r>
        <w:t xml:space="preserve">; FinCEN-OFAC PPSI sanctions </w:t>
      </w:r>
      <w:hyperlink r:id="rId18">
        <w:r>
          <w:rPr>
            <w:rStyle w:val="Hyperlink"/>
          </w:rPr>
          <w:t xml:space="preserve">FINCEN-2026-0100</w:t>
        </w:r>
      </w:hyperlink>
      <w:r>
        <w:t xml:space="preserve">; joint banking AML/CFT </w:t>
      </w:r>
      <w:hyperlink r:id="rId19">
        <w:r>
          <w:rPr>
            <w:rStyle w:val="Hyperlink"/>
          </w:rPr>
          <w:t xml:space="preserve">91 FR 18304</w:t>
        </w:r>
      </w:hyperlink>
      <w:r>
        <w:t xml:space="preserve">); </w:t>
      </w:r>
      <w:hyperlink r:id="rId20">
        <w:r>
          <w:rPr>
            <w:rStyle w:val="Hyperlink"/>
          </w:rPr>
          <w:t xml:space="preserve">Routing the Dollar</w:t>
        </w:r>
      </w:hyperlink>
      <w:r>
        <w:t xml:space="preserve"> prepared for the Federal Reserve Fifth Conference on the Dollar's International Roles (Jun 2026); </w:t>
      </w:r>
      <w:hyperlink r:id="rId10">
        <w:r>
          <w:rPr>
            <w:rStyle w:val="Hyperlink"/>
          </w:rPr>
          <w:t xml:space="preserve">Governance Concentration</w:t>
        </w:r>
      </w:hyperlink>
      <w:r>
        <w:t xml:space="preserve"> in peer review at Frontiers in Blockchain.</w:t>
      </w:r>
    </w:p>
    <w:p>
      <w:pPr>
        <w:spacing w:after="36" w:before="60"/>
        <w:ind w:left="320" w:hanging="160"/>
      </w:pPr>
      <w:r>
        <w:t>• Active dialogues across U.S. national-security research, major securities exchanges, central securities depositories, global payments messaging infrastructure, tier-1 bank tokenization platforms, and SEC-registered transfer agents on stablecoin, deposit-token, tokenized-deposit, tokenized money-market-fund, tokenized-commodity, and tokenized-equity deployment.</w:t>
      </w:r>
    </w:p>
    <w:p>
      <w:pPr>
        <w:tabs>
          <w:tab w:val="right" w:pos="10320"/>
        </w:tabs>
        <w:spacing w:after="40" w:before="160"/>
      </w:pPr>
      <w:r>
        <w:rPr>
          <w:b/>
        </w:rPr>
        <w:t>Senior Investment Analyst, Digital Assets</w:t>
      </w:r>
      <w:r>
        <w:t xml:space="preserve"> · Borderless Capital (RIA; first hire)</w:t>
      </w:r>
      <w:r>
        <w:tab/>
      </w:r>
      <w:r>
        <w:rPr>
          <w:i/>
        </w:rPr>
        <w:t>Dec 2019 to Feb 2026</w:t>
      </w:r>
    </w:p>
    <w:p>
      <w:pPr>
        <w:spacing w:after="36" w:before="60"/>
        <w:ind w:left="320" w:hanging="160"/>
      </w:pPr>
      <w:r>
        <w:t xml:space="preserve">• Predicted Thorchain's </w:t>
      </w:r>
      <w:r>
        <w:rPr>
          <w:b/>
        </w:rPr>
        <w:t>$200M insolvency 13 months in advance</w:t>
      </w:r>
      <w:r>
        <w:t>, leading to a no-exposure posture before the predicted failure mode materialized.</w:t>
      </w:r>
    </w:p>
    <w:p>
      <w:pPr>
        <w:spacing w:after="36" w:before="60"/>
        <w:ind w:left="320" w:hanging="160"/>
      </w:pPr>
      <w:r>
        <w:t xml:space="preserve">• Sourced the </w:t>
      </w:r>
      <w:r>
        <w:rPr>
          <w:b/>
        </w:rPr>
        <w:t>LayerZero seed round</w:t>
      </w:r>
      <w:r>
        <w:t xml:space="preserve"> investment for Borderless, returning ~80x; the underlying cross-chain interoperability thesis preceded the firm's Cross-Chain Ecosystem Fund by two years.</w:t>
      </w:r>
    </w:p>
    <w:p>
      <w:pPr>
        <w:spacing w:after="36" w:before="60"/>
        <w:ind w:left="320" w:hanging="160"/>
      </w:pPr>
      <w:r>
        <w:t>• Identified ~15% misreporting of circulating supply in a top-25 Layer 1 protocol by independently modeling its tokenomics (emission schedule, vesting, burn dynamics); the discrepancy had propagated to CoinMarketCap and CoinGecko, and was corrected after partnering with the protocol's foundation engineers.</w:t>
      </w:r>
    </w:p>
    <w:p>
      <w:pPr>
        <w:spacing w:after="36" w:before="60"/>
        <w:ind w:left="320" w:hanging="160"/>
      </w:pPr>
      <w:r>
        <w:t>• Prevented hostile governance capture on a top-25 blockchain via voting-path simulation under coalition-attack scenarios; surfaced the vulnerability and mitigation route before exploitation.</w:t>
      </w:r>
    </w:p>
    <w:p>
      <w:pPr>
        <w:spacing w:after="36" w:before="60"/>
        <w:ind w:left="320" w:hanging="160"/>
      </w:pPr>
      <w:r>
        <w:t>• Led discovery and diligence across a 1,000+ deal investment funnel (pre-seed to Series C); shipped 250 portfolio investments at ~25% deployment rate across ~10 institutional funds (~$500M AUM), with build/partner/hold recommendations to committee.</w:t>
      </w:r>
    </w:p>
    <w:p>
      <w:pPr>
        <w:spacing w:after="36" w:before="60"/>
        <w:ind w:left="320" w:hanging="160"/>
      </w:pPr>
      <w:r>
        <w:t xml:space="preserve">• Advised 100 portfolio companies 1-on-1 (50+ multi-session) on token mechanism design (stablecoin reserves, governance-token allocation and incentive design, yield wrappers, burn/emission dynamics); standards defined in </w:t>
      </w:r>
      <w:hyperlink r:id="rId21">
        <w:r>
          <w:rPr>
            <w:rStyle w:val="Hyperlink"/>
            <w:b/>
          </w:rPr>
          <w:t xml:space="preserve">Introduction to Tokenomics</w:t>
        </w:r>
      </w:hyperlink>
      <w:r>
        <w:t>.</w:t>
      </w:r>
    </w:p>
    <w:p>
      <w:pPr>
        <w:spacing w:after="36" w:before="60"/>
        <w:ind w:left="320" w:hanging="160"/>
      </w:pPr>
      <w:r>
        <w:t>• Built quantitative token-economic models forecasting emissions, fee capture, subsidy-to-revenue trajectories, and governance concentration under wide scenario ranges; supply-equilibrium and slashing dynamics supporting Layer 1 mechanism-design advisory.</w:t>
      </w:r>
    </w:p>
    <w:p>
      <w:pPr>
        <w:spacing w:after="36" w:before="60"/>
        <w:ind w:left="320" w:hanging="160"/>
      </w:pPr>
      <w:r>
        <w:t>• Translated regulatory change (GENIUS, CLARITY, Singapore MAS, MiCA, state money-transmitter and trust-charter regimes) into product, reserve, routing, and compliance decisions across U.S., Singapore, Cayman / BVI / Bermuda, and EU; coordinated cross-functional partner work spanning Product / Engineering, Risk (operational-risk taxonomy), and Legal.</w:t>
      </w:r>
    </w:p>
    <w:p>
      <w:pPr>
        <w:spacing w:after="36" w:before="60"/>
        <w:ind w:left="320" w:hanging="160"/>
      </w:pPr>
      <w:r>
        <w:t>• Mapped jurisdictional tax / regulatory advantages of DAT structures over direct crypto holding: Japan's Metaplanet DAT cuts crypto capital-gains tax from up to 55% to 20% (equity rate, further reducible via Japan's IRA structure); Hong Kong's Southbound Connect could give mainland Chinese capital regulated access to crypto banned domestically.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SELECTED RESEARCH</w:t>
      </w:r>
    </w:p>
    <w:p>
      <w:pPr>
        <w:spacing w:after="28" w:before="60"/>
        <w:ind w:left="320" w:hanging="160"/>
      </w:pPr>
      <w:r>
        <w:t xml:space="preserve">• </w:t>
      </w:r>
      <w:hyperlink r:id="rId20">
        <w:r>
          <w:rPr>
            <w:rStyle w:val="Hyperlink"/>
            <w:b/>
          </w:rPr>
          <w:t xml:space="preserve">Routing the Dollar.</w:t>
        </w:r>
      </w:hyperlink>
      <w:r>
        <w:t xml:space="preserve"> Prepared for Federal Reserve / FRBNY Fifth Conference on the Dollar's International Roles (Jun 2026). Gateway concentration; CLII across 19 gateways with Tier 1 a 56% / 44% Coinbase-Circle duopoly; on Ethereum, transfer volume doubled while unique counterparties fell 25% and cross-gateway connections dropped from 5.8% to 2.6%.</w:t>
      </w:r>
    </w:p>
    <w:p>
      <w:pPr>
        <w:spacing w:after="28" w:before="60"/>
        <w:ind w:left="320" w:hanging="160"/>
      </w:pPr>
      <w:r>
        <w:t xml:space="preserve">• </w:t>
      </w:r>
      <w:hyperlink r:id="rId22">
        <w:r>
          <w:rPr>
            <w:rStyle w:val="Hyperlink"/>
            <w:b/>
          </w:rPr>
          <w:t xml:space="preserve">Three Tokenization Strategies.</w:t>
        </w:r>
      </w:hyperlink>
      <w:r>
        <w:t xml:space="preserve"> Each of three strategies satisfies different MVEP categories with measurably different strength (Regulated Collateral Circuit, Multi-Issuer Yield Stack, Tokenized Equity Rails); Securitize as cross-strategy concentration risk.</w:t>
      </w:r>
    </w:p>
    <w:p>
      <w:pPr>
        <w:spacing w:after="28" w:before="60"/>
        <w:ind w:left="320" w:hanging="160"/>
      </w:pPr>
      <w:r>
        <w:t xml:space="preserve">• </w:t>
      </w:r>
      <w:hyperlink r:id="rId23">
        <w:r>
          <w:rPr>
            <w:rStyle w:val="Hyperlink"/>
            <w:b/>
          </w:rPr>
          <w:t xml:space="preserve">Seven Dollars.</w:t>
        </w:r>
      </w:hyperlink>
      <w:r>
        <w:t xml:space="preserve"> Cross-product framework for major dollar-denominated digital products; CLII / MVEP decoupling; stress propagation through dependency chains (SVB, Circle pool, Paxos).</w:t>
      </w:r>
    </w:p>
    <w:p>
      <w:pPr>
        <w:spacing w:after="28" w:before="60"/>
        <w:ind w:left="320" w:hanging="160"/>
      </w:pPr>
      <w:r>
        <w:t xml:space="preserve">• </w:t>
      </w:r>
      <w:hyperlink r:id="rId30" w:history="1">
        <w:r>
          <w:rPr>
            <w:rStyle w:val="Hyperlink"/>
            <w:b/>
          </w:rPr>
          <w:t xml:space="preserve">Dollar v3.</w:t>
        </w:r>
      </w:hyperlink>
      <w:r>
        <w:t xml:space="preserve"> Four digital-dollar objects (payment stablecoins, tokenized deposits, deposit tokens, yield wrappers); typology for inheritance of control environments, backstop expectations, and failure modes; load-bearing for institutional scoping of product shape and counterparty topology.</w:t>
      </w:r>
    </w:p>
    <w:p>
      <w:pPr>
        <w:spacing w:after="28" w:before="60"/>
        <w:ind w:left="320" w:hanging="160"/>
      </w:pPr>
      <w:r>
        <w:t xml:space="preserve">• </w:t>
      </w:r>
      <w:hyperlink r:id="rId7">
        <w:r>
          <w:rPr>
            <w:rStyle w:val="Hyperlink"/>
            <w:b/>
          </w:rPr>
          <w:t xml:space="preserve">Minimum Viable Equivalence Pack.</w:t>
        </w:r>
      </w:hyperlink>
      <w:r>
        <w:t xml:space="preserve"> Ten-category institutional diligence standard; finds bank-chartered stablecoin issuers face ~22x the regulatory capital requirements of money-transmitter-chartered issuers at $40B scale; production-validated by Circle's BUIDL March 27, 2025 incident (23 hours of limited availability).</w:t>
      </w:r>
    </w:p>
    <w:p>
      <w:pPr>
        <w:spacing w:after="28" w:before="60"/>
        <w:ind w:left="320" w:hanging="160"/>
      </w:pPr>
      <w:r>
        <w:t xml:space="preserve">• </w:t>
      </w:r>
      <w:hyperlink r:id="rId8">
        <w:r>
          <w:rPr>
            <w:rStyle w:val="Hyperlink"/>
            <w:b/>
          </w:rPr>
          <w:t xml:space="preserve">Adaptive Tokenomics.</w:t>
        </w:r>
      </w:hyperlink>
      <w:r>
        <w:t xml:space="preserve"> Industrial control engineering (PID, Proportional-Integral-Derivative) applied to token-supply emission as programmable monetary-policy mechanism; 240-scenario Monte Carlo simulation; PID emission control cuts worst-case node-count variance from CV (coefficient of variation) 0.544 (static emission) to 0.087 (PID), functioning as downside insurance under competitor-shock attack.</w:t>
      </w:r>
    </w:p>
    <w:p>
      <w:pPr>
        <w:spacing w:after="28" w:before="60"/>
        <w:ind w:left="320" w:hanging="160"/>
      </w:pPr>
      <w:r>
        <w:t xml:space="preserve">• </w:t>
      </w:r>
      <w:hyperlink r:id="rId11">
        <w:r>
          <w:rPr>
            <w:rStyle w:val="Hyperlink"/>
            <w:b/>
          </w:rPr>
          <w:t xml:space="preserve">Operational Risk in Token Economies.</w:t>
        </w:r>
      </w:hyperlink>
      <w:r>
        <w:t xml:space="preserve"> Operational-risk taxonomy (74 risk vectors, 64 testable controls, 31 program objectives) mapped to a 624-scenario battery; Lido V3 staking-vault case study.</w:t>
      </w:r>
    </w:p>
    <w:p>
      <w:pPr>
        <w:spacing w:after="28" w:before="60"/>
        <w:ind w:left="320" w:hanging="160"/>
      </w:pPr>
      <w:r>
        <w:t xml:space="preserve">• </w:t>
      </w:r>
      <w:hyperlink r:id="rId10">
        <w:r>
          <w:rPr>
            <w:rStyle w:val="Hyperlink"/>
            <w:b/>
          </w:rPr>
          <w:t xml:space="preserve">Governance Concentration Beyond Token Allocation.</w:t>
        </w:r>
      </w:hyperlink>
      <w:r>
        <w:t xml:space="preserve"> In peer review at Frontiers in Blockchain. 40-protocol cross-section: initial token allocation does not predict governance concentration; protocol sector does (DePIN significantly more concentrated than DeFi; Cohen's d = 0.96).</w:t>
      </w:r>
    </w:p>
    <w:p>
      <w:pPr>
        <w:spacing w:after="28" w:before="60"/>
        <w:ind w:left="320" w:hanging="160"/>
      </w:pPr>
      <w:r>
        <w:t xml:space="preserve">• </w:t>
      </w:r>
      <w:hyperlink r:id="rId24">
        <w:r>
          <w:rPr>
            <w:rStyle w:val="Hyperlink"/>
            <w:b/>
          </w:rPr>
          <w:t xml:space="preserve">Who Burns the Tokens?</w:t>
        </w:r>
      </w:hyperlink>
      <w:r>
        <w:t xml:space="preserve"> Burn-mechanism design (carrier contracts vs. subscriptions) drives demand concentration: Helium's carrier-contract model concentrates ~90% of token burns in 5 purchasers (HHI 0.22) despite ~1M hotspots; coalition-power analysis extends standard concentration measures for single-address risk.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TECHNICAL</w:t>
      </w:r>
    </w:p>
    <w:p>
      <w:pPr>
        <w:spacing w:after="22" w:before="60"/>
      </w:pPr>
      <w:r>
        <w:rPr>
          <w:b/>
        </w:rPr>
        <w:t>Methods:</w:t>
      </w:r>
      <w:r>
        <w:t xml:space="preserve"> policy-shock impact estimation (difference-in-differences), Monte Carlo simulation, PID controller design (industrial control engineering), coalition-power analysis, supply equilibrium modeling, build-versus-partner framework design</w:t>
      </w:r>
    </w:p>
    <w:p>
      <w:pPr>
        <w:spacing w:after="22" w:before="60"/>
      </w:pPr>
      <w:r>
        <w:rPr>
          <w:b/>
        </w:rPr>
        <w:t>Data:</w:t>
      </w:r>
      <w:r>
        <w:t xml:space="preserve"> Dune Analytics, Nansen Pro, Artemis, DefiLlama, CoinGecko, Helius (Solana), Etherscan, Blockscout (EVM), Spacescope, Token Terminal, Tally (DAO governance), rated.network, Beaconcha.in (validator data), FRED (macro); automated SEC filing and press release monitoring</w:t>
      </w:r>
    </w:p>
    <w:p>
      <w:pPr>
        <w:spacing w:after="22" w:before="60"/>
      </w:pPr>
      <w:r>
        <w:rPr>
          <w:b/>
        </w:rPr>
        <w:t>Stack:</w:t>
      </w:r>
      <w:r>
        <w:t xml:space="preserve"> Python (pandas, statsmodels, scipy, matplotlib), R (fixest, did, synthdid), SQL (DuneSQL, Trino), JavaScript / TypeScript; 22 MCP and API connections wrapping the data sources above plus GitHub; Claude.ai + Claude Code + Cursor with 36-skill library and 17-file living-knowledge architecture; n8n, Apify, Git / GitHub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>RECOGNITION</w:t>
      </w:r>
    </w:p>
    <w:p>
      <w:pPr>
        <w:spacing w:after="36" w:before="60"/>
        <w:ind w:left="320" w:hanging="160"/>
      </w:pPr>
      <w:r>
        <w:t>• Uniswap Foundation governance committee (2025)</w:t>
      </w:r>
    </w:p>
    <w:p>
      <w:pPr>
        <w:spacing w:after="36" w:before="60"/>
        <w:ind w:left="320" w:hanging="160"/>
      </w:pPr>
      <w:r>
        <w:t>• ETHDenver pitch judge (2025)</w:t>
      </w:r>
    </w:p>
    <w:p>
      <w:pPr>
        <w:spacing w:after="36" w:before="60"/>
        <w:ind w:left="320" w:hanging="160"/>
      </w:pPr>
      <w:r>
        <w:t xml:space="preserve">• </w:t>
      </w:r>
      <w:hyperlink r:id="rId21">
        <w:r>
          <w:rPr>
            <w:rStyle w:val="Hyperlink"/>
            <w:b/>
          </w:rPr>
          <w:t xml:space="preserve">Introduction to Tokenomics</w:t>
        </w:r>
      </w:hyperlink>
      <w:r>
        <w:t xml:space="preserve"> article publicly endorsed by Binance founder CZ on day of publication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FRAMEWORKS AUTHORED</w:t>
      </w:r>
    </w:p>
    <w:p>
      <w:pPr>
        <w:spacing w:after="36" w:before="60"/>
        <w:ind w:left="320" w:hanging="160"/>
      </w:pPr>
      <w:r>
        <w:t xml:space="preserve">• Control Layer Intensity Index (</w:t>
      </w:r>
      <w:hyperlink r:id="rId25" w:history="1">
        <w:r>
          <w:rPr>
            <w:rStyle w:val="Hyperlink"/>
          </w:rPr>
          <w:t xml:space="preserve">CLII</w:t>
        </w:r>
      </w:hyperlink>
      <w:r>
        <w:t xml:space="preserve">), Minimum Viable Equivalence Pack (</w:t>
      </w:r>
      <w:hyperlink r:id="rId26" w:history="1">
        <w:r>
          <w:rPr>
            <w:rStyle w:val="Hyperlink"/>
          </w:rPr>
          <w:t xml:space="preserve">MVEP</w:t>
        </w:r>
      </w:hyperlink>
      <w:r>
        <w:t xml:space="preserve">), MVEP-gated Conditional Pass-Through (</w:t>
      </w:r>
      <w:hyperlink r:id="rId27" w:history="1">
        <w:r>
          <w:rPr>
            <w:rStyle w:val="Hyperlink"/>
          </w:rPr>
          <w:t xml:space="preserve">MGCPT</w:t>
        </w:r>
      </w:hyperlink>
      <w:r>
        <w:t xml:space="preserve">; </w:t>
      </w:r>
      <w:hyperlink r:id="rId28" w:history="1">
        <w:r>
          <w:rPr>
            <w:rStyle w:val="Hyperlink"/>
          </w:rPr>
          <w:t xml:space="preserve">AG19 Rec 7</w:t>
        </w:r>
      </w:hyperlink>
      <w:r>
        <w:t xml:space="preserve">), Three-Category Reserve Disclosure (</w:t>
      </w:r>
      <w:hyperlink r:id="rId29" w:history="1">
        <w:r>
          <w:rPr>
            <w:rStyle w:val="Hyperlink"/>
          </w:rPr>
          <w:t xml:space="preserve">TCRD</w:t>
        </w:r>
      </w:hyperlink>
      <w:r>
        <w:t xml:space="preserve">).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EDUCATION</w:t>
      </w:r>
    </w:p>
    <w:p>
      <w:pPr>
        <w:tabs>
          <w:tab w:val="right" w:pos="10320"/>
        </w:tabs>
        <w:spacing w:after="0" w:before="60"/>
      </w:pPr>
      <w:r>
        <w:rPr>
          <w:rFonts w:ascii="Arial" w:cs="Arial" w:eastAsia="Arial" w:hAnsi="Arial"/>
          <w:b/>
          <w:bCs/>
          <w:color w:val="1A1A1A"/>
          <w:sz w:val="19"/>
          <w:szCs w:val="19"/>
        </w:rPr>
        <w:t xml:space="preserve">High Point University</w:t>
      </w:r>
      <w:r>
        <w:rPr>
          <w:rFonts w:ascii="Arial" w:cs="Arial" w:eastAsia="Arial" w:hAnsi="Arial"/>
          <w:color w:val="1A1A1A"/>
          <w:sz w:val="19"/>
          <w:szCs w:val="19"/>
        </w:rPr>
        <w:t xml:space="preserve"> | B.S.B.A., Business Administration (Magna Cum Laude) · Investment Club President</w:t>
        <w:br/>
        <w:t xml:space="preserve">· Lingnan University, Hong Kong (exchange)</w:t>
      </w:r>
      <w:r>
        <w:rPr>
          <w:rFonts w:ascii="Arial" w:cs="Arial" w:eastAsia="Arial" w:hAnsi="Arial"/>
          <w:sz w:val="19"/>
          <w:szCs w:val="19"/>
        </w:rPr>
        <w:t xml:space="preserve">	</w:t>
      </w:r>
      <w:r>
        <w:rPr>
          <w:rFonts w:ascii="Arial" w:cs="Arial" w:eastAsia="Arial" w:hAnsi="Arial"/>
          <w:i/>
          <w:iCs/>
          <w:color w:val="666666"/>
          <w:sz w:val="19"/>
          <w:szCs w:val="19"/>
        </w:rPr>
        <w:t xml:space="preserve">2018</w:t>
      </w:r>
    </w:p>
    <w:sectPr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A1A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tk3pkbjp0bnea-khivcha" Type="http://schemas.openxmlformats.org/officeDocument/2006/relationships/hyperlink" Target="https://tokenization.systems" TargetMode="External"/><Relationship Id="rIdnnxna0daueqz2sdxissom" Type="http://schemas.openxmlformats.org/officeDocument/2006/relationships/hyperlink" Target="https://linkedin.com/in/zachzukowski" TargetMode="External"/><Relationship Id="rIdrdmpe-g4zsyvawvrrkisd" Type="http://schemas.openxmlformats.org/officeDocument/2006/relationships/hyperlink" Target="https://papers.ssrn.com/sol3/cf_dev/AbsByAuth.cfm?per_id=7810362" TargetMode="External"/><Relationship Id="rId9" Type="http://schemas.openxmlformats.org/officeDocument/2006/relationships/fontTable" Target="fontTable.xml"/><Relationship Id="rId6" Type="http://schemas.openxmlformats.org/officeDocument/2006/relationships/hyperlink" Target="https://tokenization.systems/papers/control-layer-war/" TargetMode="External"/><Relationship Id="rId7" Type="http://schemas.openxmlformats.org/officeDocument/2006/relationships/hyperlink" Target="https://tokenization.systems/papers/mvep/" TargetMode="External"/><Relationship Id="rId8" Type="http://schemas.openxmlformats.org/officeDocument/2006/relationships/hyperlink" Target="https://tokenization.systems/papers/adaptive-tokenomics/" TargetMode="External"/><Relationship Id="rId10" Type="http://schemas.openxmlformats.org/officeDocument/2006/relationships/hyperlink" Target="https://tokenization.systems/papers/governance-concentration/" TargetMode="External"/><Relationship Id="rId11" Type="http://schemas.openxmlformats.org/officeDocument/2006/relationships/hyperlink" Target="https://tokenization.systems/papers/operational-risk/" TargetMode="External"/><Relationship Id="rId12" Type="http://schemas.openxmlformats.org/officeDocument/2006/relationships/hyperlink" Target="https://tokenization.systems/letters/occ-mvep-v4/" TargetMode="External"/><Relationship Id="rId13" Type="http://schemas.openxmlformats.org/officeDocument/2006/relationships/hyperlink" Target="https://tokenization.systems/letters/occ-supplemental/" TargetMode="External"/><Relationship Id="rId14" Type="http://schemas.openxmlformats.org/officeDocument/2006/relationships/hyperlink" Target="https://tokenization.systems/letters/treasury-genius-state-similarity/" TargetMode="External"/><Relationship Id="rId15" Type="http://schemas.openxmlformats.org/officeDocument/2006/relationships/hyperlink" Target="https://tokenization.systems/letters/fdic-ag19-ppsi-activities/" TargetMode="External"/><Relationship Id="rId16" Type="http://schemas.openxmlformats.org/officeDocument/2006/relationships/hyperlink" Target="https://tokenization.systems/letters/fdic-ag20-ppsi-application/" TargetMode="External"/><Relationship Id="rId17" Type="http://schemas.openxmlformats.org/officeDocument/2006/relationships/hyperlink" Target="https://tokenization.systems/letters/fincen-aml-cft/" TargetMode="External"/><Relationship Id="rId18" Type="http://schemas.openxmlformats.org/officeDocument/2006/relationships/hyperlink" Target="https://tokenization.systems/letters/fincen-ofac-ppsi-sanctions/" TargetMode="External"/><Relationship Id="rId19" Type="http://schemas.openxmlformats.org/officeDocument/2006/relationships/hyperlink" Target="https://tokenization.systems/letters/banking-agencies-joint-aml/" TargetMode="External"/><Relationship Id="rId20" Type="http://schemas.openxmlformats.org/officeDocument/2006/relationships/hyperlink" Target="https://tokenization.systems/papers/routing-the-dollar/" TargetMode="External"/><Relationship Id="rId21" Type="http://schemas.openxmlformats.org/officeDocument/2006/relationships/hyperlink" Target="https://medium.com/borderless-capital/introduction-to-tokenomics-c7af75c09bfe" TargetMode="External"/><Relationship Id="rId22" Type="http://schemas.openxmlformats.org/officeDocument/2006/relationships/hyperlink" Target="https://tokenization.systems/papers/three-strategies/" TargetMode="External"/><Relationship Id="rId23" Type="http://schemas.openxmlformats.org/officeDocument/2006/relationships/hyperlink" Target="https://tokenization.systems/papers/seven-dollars/" TargetMode="External"/><Relationship Id="rId24" Type="http://schemas.openxmlformats.org/officeDocument/2006/relationships/hyperlink" Target="https://tokenization.systems/papers/who-burns-the-tokens/" TargetMode="External"/><Relationship Id="rId25" Type="http://schemas.openxmlformats.org/officeDocument/2006/relationships/hyperlink" Target="https://tokenization.systems/frameworks/#clii" TargetMode="External"/><Relationship Id="rId26" Type="http://schemas.openxmlformats.org/officeDocument/2006/relationships/hyperlink" Target="https://tokenization.systems/frameworks/#mvep" TargetMode="External"/><Relationship Id="rId27" Type="http://schemas.openxmlformats.org/officeDocument/2006/relationships/hyperlink" Target="https://tokenization.systems/frameworks/#mgcpt" TargetMode="External"/><Relationship Id="rId28" Type="http://schemas.openxmlformats.org/officeDocument/2006/relationships/hyperlink" Target="https://tokenization.systems/letters/fdic-ag19-ppsi-activities/" TargetMode="External"/><Relationship Id="rId29" Type="http://schemas.openxmlformats.org/officeDocument/2006/relationships/hyperlink" Target="https://tokenization.systems/frameworks/#tcrd" TargetMode="External"/><Relationship Id="rId30" Type="http://schemas.openxmlformats.org/officeDocument/2006/relationships/hyperlink" Target="https://tokenization.systems/papers/dollar-v3/" TargetMode="Externa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2026-03-25T00:23:39.616Z</dcterms:created>
  <dcterms:modified xsi:type="dcterms:W3CDTF">2026-03-25T00:23:39.616Z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