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6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6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6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6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6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6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FOUNDER, TOKENIZATION SYSTEMS · STABLECOIN POLICY · REGULATORY TRANSLATION · FEDERAL COMMENT LETTERS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4"/>
          <w:szCs w:val="16"/>
        </w:rPr>
        <w:t>· 8 federal comment letters · 8 SSRN papers · Dialogues across national security think tanks, securities exchanges, Central Securities Depositories, payments messaging, tier⁠-⁠1 banks, SEC⁠-⁠registered transfer agents · Patent⁠-⁠pending Canonical⁠-⁠State Architecture for multi⁠-⁠agent AI research (USPTO 64/071,767)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40" w:before="60"/>
      </w:pPr>
      <w:r>
        <w:rPr>
          <w:rFonts w:ascii="Arial" w:cs="Arial" w:eastAsia="Arial" w:hAnsi="Arial"/>
          <w:color w:val="1A1A1A"/>
          <w:sz w:val="19"/>
          <w:szCs w:val="16"/>
        </w:rPr>
        <w:t>Stablecoin policy and regulatory-strategy lead who translates banking and payments rulemaking into reserve, routing, and compliance positions, from federal dockets to capital-markets infrastructure. Founder of Tokenization Systems; first hire at Borderless Capital, an RIA.</w:t>
      </w:r>
    </w:p>
    <w:p>
      <w:pPr>
        <w:spacing w:after="40" w:before="0"/>
      </w:pPr>
      <w:r>
        <w:rPr>
          <w:rFonts w:ascii="Arial" w:cs="Arial" w:eastAsia="Arial" w:hAnsi="Arial"/>
          <w:color w:val="1A1A1A"/>
          <w:sz w:val="19"/>
          <w:szCs w:val="16"/>
        </w:rPr>
        <w:t>Focus: stablecoin and payments policy, bank versus money-transmitter charter equivalence, reserve and AML/CFT standards, regulatory translation · OCC, FDIC, FinCEN, OFAC, Treasury GENIUS, CLARITY, MiCA, Singapore MAS.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6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7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8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0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1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2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3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4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15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6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17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18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19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6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20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Engaged in working-level dialogues on stablecoin and tokenization deployment across U.S. national-security research, major securities exchanges, central securities depositories, global payments messaging infrastructure, tier-1 bank tokenization platforms, and SEC-registered transfer agents.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 w:before="60"/>
        <w:ind w:left="320" w:hanging="160"/>
      </w:pPr>
      <w:r>
        <w:t xml:space="preserve"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built AI tool that cut subscription review from 4hr to 1hr per deal.</w:t>
      </w:r>
    </w:p>
    <w:p>
      <w:pPr>
        <w:spacing w:after="36" w:before="60"/>
        <w:ind w:left="320" w:hanging="160"/>
      </w:pPr>
      <w:r>
        <w:t>• Built the firm's research function from scratch; led a four-analyst team producing ~25 long-form publications annually; taught 100 teams across nine accelerator programs (2021 to 2025).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8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 w:before="60"/>
        <w:ind w:left="320" w:hanging="160"/>
      </w:pPr>
      <w:r>
        <w:t xml:space="preserve">• </w:t>
      </w:r>
      <w:hyperlink r:id="rId15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30" w:history="1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19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PID emission control cuts worst-case node-count variance from CV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16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8" w:before="60"/>
      </w:pPr>
      <w:r>
        <w:t>• Uniswap Foundation governance committee (2025)</w:t>
      </w:r>
    </w:p>
    <w:p>
      <w:pPr>
        <w:spacing w:after="38" w:before="60"/>
      </w:pPr>
      <w:r>
        <w:t>• ETHDenver pitch judge (2025)</w:t>
      </w:r>
    </w:p>
    <w:p>
      <w:pPr>
        <w:spacing w:after="38" w:before="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8" w:before="60"/>
      </w:pPr>
      <w:r>
        <w:t xml:space="preserve">• Control Layer Intensity Index (</w:t>
      </w:r>
      <w:hyperlink r:id="rId25" w:history="1">
        <w:r>
          <w:rPr>
            <w:rStyle w:val="Hyperlink"/>
          </w:rPr>
          <w:t xml:space="preserve">CLII</w:t>
        </w:r>
      </w:hyperlink>
      <w:r>
        <w:t xml:space="preserve">), Minimum Viable Equivalence Pack (</w:t>
      </w:r>
      <w:hyperlink r:id="rId26" w:history="1">
        <w:r>
          <w:rPr>
            <w:rStyle w:val="Hyperlink"/>
          </w:rPr>
          <w:t xml:space="preserve">MVEP</w:t>
        </w:r>
      </w:hyperlink>
      <w:r>
        <w:t xml:space="preserve">), MVEP-gated Conditional Pass-Through (</w:t>
      </w:r>
      <w:hyperlink r:id="rId27" w:history="1">
        <w:r>
          <w:rPr>
            <w:rStyle w:val="Hyperlink"/>
          </w:rPr>
          <w:t xml:space="preserve">MGCPT</w:t>
        </w:r>
      </w:hyperlink>
      <w:r>
        <w:t xml:space="preserve">; </w:t>
      </w:r>
      <w:hyperlink r:id="rId28" w:history="1">
        <w:r>
          <w:rPr>
            <w:rStyle w:val="Hyperlink"/>
          </w:rPr>
          <w:t xml:space="preserve">AG19 Rec 7</w:t>
        </w:r>
      </w:hyperlink>
      <w:r>
        <w:t xml:space="preserve">), Three-Category Reserve Disclosure (</w:t>
      </w:r>
      <w:hyperlink r:id="rId29" w:history="1">
        <w:r>
          <w:rPr>
            <w:rStyle w:val="Hyperlink"/>
          </w:rPr>
          <w:t xml:space="preserve">TCRD</w:t>
        </w:r>
      </w:hyperlink>
      <w:r>
        <w:t xml:space="preserve"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  <w:br/>
        <w:t xml:space="preserve">· Lingnan University, Hong Kong (exchange)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letters/occ-mvep-v4/" TargetMode="External"/><Relationship Id="rId7" Type="http://schemas.openxmlformats.org/officeDocument/2006/relationships/hyperlink" Target="https://tokenization.systems/letters/occ-supplemental/" TargetMode="External"/><Relationship Id="rId8" Type="http://schemas.openxmlformats.org/officeDocument/2006/relationships/hyperlink" Target="https://tokenization.systems/letters/treasury-genius-state-similarity/" TargetMode="External"/><Relationship Id="rId10" Type="http://schemas.openxmlformats.org/officeDocument/2006/relationships/hyperlink" Target="https://tokenization.systems/letters/fdic-ag19-ppsi-activities/" TargetMode="External"/><Relationship Id="rId11" Type="http://schemas.openxmlformats.org/officeDocument/2006/relationships/hyperlink" Target="https://tokenization.systems/letters/fdic-ag20-ppsi-application/" TargetMode="External"/><Relationship Id="rId12" Type="http://schemas.openxmlformats.org/officeDocument/2006/relationships/hyperlink" Target="https://tokenization.systems/letters/fincen-aml-cft/" TargetMode="External"/><Relationship Id="rId13" Type="http://schemas.openxmlformats.org/officeDocument/2006/relationships/hyperlink" Target="https://tokenization.systems/letters/fincen-ofac-ppsi-sanctions/" TargetMode="External"/><Relationship Id="rId14" Type="http://schemas.openxmlformats.org/officeDocument/2006/relationships/hyperlink" Target="https://tokenization.systems/letters/banking-agencies-joint-aml/" TargetMode="External"/><Relationship Id="rId15" Type="http://schemas.openxmlformats.org/officeDocument/2006/relationships/hyperlink" Target="https://tokenization.systems/papers/routing-the-dollar/" TargetMode="External"/><Relationship Id="rId16" Type="http://schemas.openxmlformats.org/officeDocument/2006/relationships/hyperlink" Target="https://tokenization.systems/papers/governance-concentration/" TargetMode="External"/><Relationship Id="rId17" Type="http://schemas.openxmlformats.org/officeDocument/2006/relationships/hyperlink" Target="https://tokenization.systems/papers/control-layer-war/" TargetMode="External"/><Relationship Id="rId18" Type="http://schemas.openxmlformats.org/officeDocument/2006/relationships/hyperlink" Target="https://tokenization.systems/papers/mvep/" TargetMode="External"/><Relationship Id="rId19" Type="http://schemas.openxmlformats.org/officeDocument/2006/relationships/hyperlink" Target="https://tokenization.systems/papers/adaptive-tokenomics/" TargetMode="External"/><Relationship Id="rId20" Type="http://schemas.openxmlformats.org/officeDocument/2006/relationships/hyperlink" Target="https://tokenization.systems/papers/operational-risk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seven-dollars/" TargetMode="External"/><Relationship Id="rId23" Type="http://schemas.openxmlformats.org/officeDocument/2006/relationships/hyperlink" Target="https://tokenization.systems/papers/three-strategies/" TargetMode="External"/><Relationship Id="rId24" Type="http://schemas.openxmlformats.org/officeDocument/2006/relationships/hyperlink" Target="https://tokenization.systems/papers/who-burns-the-tokens/" TargetMode="External"/><Relationship Id="rId25" Type="http://schemas.openxmlformats.org/officeDocument/2006/relationships/hyperlink" Target="https://tokenization.systems/frameworks/#clii" TargetMode="External"/><Relationship Id="rId26" Type="http://schemas.openxmlformats.org/officeDocument/2006/relationships/hyperlink" Target="https://tokenization.systems/frameworks/#mvep" TargetMode="External"/><Relationship Id="rId27" Type="http://schemas.openxmlformats.org/officeDocument/2006/relationships/hyperlink" Target="https://tokenization.systems/frameworks/#mgcpt" TargetMode="External"/><Relationship Id="rId28" Type="http://schemas.openxmlformats.org/officeDocument/2006/relationships/hyperlink" Target="https://tokenization.systems/letters/fdic-ag19-ppsi-activities/" TargetMode="External"/><Relationship Id="rId29" Type="http://schemas.openxmlformats.org/officeDocument/2006/relationships/hyperlink" Target="https://tokenization.systems/frameworks/#tcrd" TargetMode="External"/><Relationship Id="rId30" Type="http://schemas.openxmlformats.org/officeDocument/2006/relationships/hyperlink" Target="https://tokenization.systems/papers/dollar-v3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