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  <w:jc w:val="center"/>
      </w:pPr>
      <w:r>
        <w:rPr>
          <w:rFonts w:ascii="Arial" w:cs="Arial" w:eastAsia="Arial" w:hAnsi="Arial"/>
          <w:b/>
          <w:bCs/>
          <w:color w:val="1A1A1A"/>
          <w:sz w:val="36"/>
          <w:szCs w:val="36"/>
        </w:rPr>
        <w:t xml:space="preserve">Zach Zukowski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Orlando, FL | Zach@Tokenization.Systems | 407-536-8625</w:t>
      </w:r>
    </w:p>
    <w:p>
      <w:pPr>
        <w:spacing w:after="55" w:before="60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SSRN</w:t>
        </w:r>
      </w:hyperlink>
    </w:p>
    <w:p>
      <w:pPr>
        <w:spacing w:after="15" w:before="60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FOUNDER, TOKENIZATION SYSTEMS · DIGITAL ASSET PRODUCT · TOKENIZED MONEY AND PAYMENTS · INSTITUTIONAL DILIGENCE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4"/>
          <w:szCs w:val="19"/>
        </w:rPr>
        <w:t>· 1,000+ deal funnel · 100 portfolio companies advised 1⁠-⁠on⁠-⁠1 (50+ multi⁠-⁠session) · LayerZero seed (~80x) · Thorchain $200M insolvency modeled 13 months ahead · 8 SSRN papers · 8 federal comment letters · Patent⁠-⁠pending Canonical⁠-⁠State Architecture for multi⁠-⁠agent AI research (USPTO 64/071,767)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40" w:before="60"/>
      </w:pPr>
      <w:r>
        <w:rPr>
          <w:rFonts w:ascii="Arial" w:cs="Arial" w:eastAsia="Arial" w:hAnsi="Arial"/>
          <w:color w:val="1A1A1A"/>
          <w:sz w:val="19"/>
          <w:szCs w:val="19"/>
        </w:rPr>
        <w:t>Digital-asset product strategist across stablecoins, deposit tokens, tokenized money-market funds, and on-chain payment rails, grounding product calls in control-layer and operator-accountability research. Founder of Tokenization Systems; first hire at Borderless Capital, an RIA.</w:t>
      </w:r>
    </w:p>
    <w:p>
      <w:pPr>
        <w:spacing w:after="40" w:before="0"/>
      </w:pPr>
      <w:r>
        <w:rPr>
          <w:rFonts w:ascii="Arial" w:cs="Arial" w:eastAsia="Arial" w:hAnsi="Arial"/>
          <w:color w:val="1A1A1A"/>
          <w:sz w:val="19"/>
          <w:szCs w:val="19"/>
        </w:rPr>
        <w:t>Focus: payment stablecoins, deposit tokens, tokenized money-market funds, on-chain payment rails · token-economic and scenario modeling, build-versus-partner framework design · OCC, FDIC, FinCEN, Treasury GENIUS, CLARITY, MiCA.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 w:before="60"/>
        <w:ind w:left="320" w:hanging="160"/>
      </w:pPr>
      <w:r>
        <w:t xml:space="preserve">• Authored an eight-paper SSRN-live research program covering the </w:t>
      </w:r>
      <w:hyperlink r:id="rId16">
        <w:r>
          <w:rPr>
            <w:rStyle w:val="Hyperlink"/>
            <w:b/>
          </w:rPr>
          <w:t>Control Layer Intensity Index</w:t>
        </w:r>
      </w:hyperlink>
      <w:r>
        <w:t xml:space="preserve"> (CLII) for stablecoin gateway and payment-rail concentration, the </w:t>
      </w:r>
      <w:hyperlink r:id="rId21">
        <w:r>
          <w:rPr>
            <w:rStyle w:val="Hyperlink"/>
            <w:b/>
          </w:rPr>
          <w:t>Minimum Viable Equivalence Pack</w:t>
        </w:r>
      </w:hyperlink>
      <w:r>
        <w:t xml:space="preserve"> (MVEP) for institutional tokenization diligence, programmable monetary-policy design (</w:t>
      </w:r>
      <w:hyperlink r:id="rId6">
        <w:r>
          <w:rPr>
            <w:rStyle w:val="Hyperlink"/>
            <w:b/>
          </w:rPr>
          <w:t xml:space="preserve">Adaptive Tokenomics</w:t>
        </w:r>
      </w:hyperlink>
      <w:r>
        <w:t xml:space="preserve">), governance concentration, and operational risk in token economies. Three additional papers in development (B5 Bankruptcy-Priority Misaligned Incentives, A7 Control Layer Theory, SVB Reserve Concentration); methodology paper in preparation.</w:t>
      </w:r>
    </w:p>
    <w:p>
      <w:pPr>
        <w:spacing w:after="36" w:before="60"/>
        <w:ind w:left="320" w:hanging="160"/>
      </w:pPr>
      <w:r>
        <w:t xml:space="preserve">• Contributed eight comment letters across a federal regulatory program (OCC bank stablecoin engagement </w:t>
      </w:r>
      <w:hyperlink r:id="rId7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8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0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1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2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3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4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5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16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7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 w:before="60"/>
        <w:ind w:left="320" w:hanging="160"/>
      </w:pPr>
      <w:r>
        <w:t>• Active dialogues across U.S. national-security research, major securities exchanges, central securities depositories, global payments messaging infrastructure, tier-1 bank tokenization platforms, and SEC-registered transfer agents on stablecoin, deposit-token, tokenized-deposit, tokenized money-market-fund, tokenized-commodity,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spacing w:after="36" w:before="60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spacing w:after="36" w:before="60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 w:before="60"/>
        <w:ind w:left="320" w:hanging="160"/>
      </w:pPr>
      <w:r>
        <w:t xml:space="preserve"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 w:before="60"/>
        <w:ind w:left="320" w:hanging="160"/>
      </w:pPr>
      <w:r>
        <w:t xml:space="preserve"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 w:before="60"/>
        <w:ind w:left="320" w:hanging="160"/>
      </w:pPr>
      <w:r>
        <w:t>• Led discovery and diligence across a 1,000+ deal investment funnel (pre-seed to Series C); shipped 250 portfolio investments at ~25% deployment rate across ~10 institutional funds (~$500M AUM), with build/partner/hold recommendations to committee.</w:t>
      </w:r>
    </w:p>
    <w:p>
      <w:pPr>
        <w:spacing w:after="36" w:before="60"/>
        <w:ind w:left="320" w:hanging="160"/>
      </w:pPr>
      <w:r>
        <w:t xml:space="preserve">• Advised 100 portfolio companies 1-on-1 on token mechanism design (stablecoin reserves, governance-token allocation and incentive design, yield wrappers, burn/emission dynamics); standards defined in </w:t>
      </w:r>
      <w:hyperlink r:id="rId18">
        <w:r>
          <w:rPr>
            <w:rStyle w:val="Hyperlink"/>
            <w:b/>
          </w:rPr>
          <w:t xml:space="preserve">Introduction to Tokenomics</w:t>
        </w:r>
      </w:hyperlink>
      <w:r>
        <w:t>.</w:t>
      </w:r>
    </w:p>
    <w:p>
      <w:pPr>
        <w:spacing w:after="36" w:before="60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 w:before="60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spacing w:after="36" w:before="60"/>
        <w:ind w:left="320" w:hanging="160"/>
      </w:pPr>
      <w:r>
        <w:t>• Built automated SEC-filing and press-release monitoring for Digital Asset Treasury Stocks (DATs); analyzed ~75 tokenization offerings in 2025 and invested in 18; AI-assisted diligence workflows reducing subscription-document review from ~4 hours to ~1 hour per deal.</w:t>
      </w:r>
    </w:p>
    <w:p>
      <w:pPr>
        <w:spacing w:after="36" w:before="60"/>
        <w:ind w:left="320" w:hanging="160"/>
      </w:pPr>
      <w:r>
        <w:t>• Built apples-to-apples multiple on NAV (mNAV) methodology for Digital Asset Treasury Stocks (DATs) and shipped a daily mNAV dashboard sourcing SEC filings and press releases; standardized treatment of non-crypto assets in the numerator across issuers (issuer-reported mNAV figures use inconsistent conventions that undermine cross-DAT comparison).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 w:before="60"/>
        <w:ind w:left="320" w:hanging="160"/>
      </w:pPr>
      <w:r>
        <w:t xml:space="preserve">• </w:t>
      </w:r>
      <w:hyperlink r:id="rId16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 w:before="60"/>
        <w:ind w:left="320" w:hanging="160"/>
      </w:pPr>
      <w:r>
        <w:t xml:space="preserve">• </w:t>
      </w:r>
      <w:hyperlink r:id="rId19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 w:before="60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products; CLII / MVEP decoupling; stress propagation through dependency chains (SVB, Circle pool, Paxos).</w:t>
      </w:r>
    </w:p>
    <w:p>
      <w:pPr>
        <w:spacing w:after="28" w:before="60"/>
        <w:ind w:left="320" w:hanging="160"/>
      </w:pPr>
      <w:r>
        <w:t xml:space="preserve">• </w:t>
      </w:r>
      <w:hyperlink r:id="rId29" w:history="1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PM scoping of product shape and counterparty topology.</w:t>
      </w:r>
    </w:p>
    <w:p>
      <w:pPr>
        <w:spacing w:after="28" w:before="60"/>
        <w:ind w:left="320" w:hanging="160"/>
      </w:pPr>
      <w:r>
        <w:t xml:space="preserve">• </w:t>
      </w:r>
      <w:hyperlink r:id="rId21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scale.</w:t>
      </w:r>
    </w:p>
    <w:p>
      <w:pPr>
        <w:spacing w:after="28" w:before="60"/>
        <w:ind w:left="320" w:hanging="160"/>
      </w:pPr>
      <w:r>
        <w:t xml:space="preserve">• </w:t>
      </w:r>
      <w:hyperlink r:id="rId6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240-scenario Monte Carlo simulation;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 w:before="60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 with custody and reporting controls relevant to tokenized payment platforms.</w:t>
      </w:r>
    </w:p>
    <w:p>
      <w:pPr>
        <w:spacing w:after="28" w:before="60"/>
        <w:ind w:left="320" w:hanging="160"/>
      </w:pPr>
      <w:r>
        <w:t xml:space="preserve">• </w:t>
      </w:r>
      <w:hyperlink r:id="rId17">
        <w:r>
          <w:rPr>
            <w:rStyle w:val="Hyperlink"/>
            <w:b/>
          </w:rPr>
          <w:t xml:space="preserve">Governance Concentration Beyond Token Allocation.</w:t>
        </w:r>
      </w:hyperlink>
      <w:r>
        <w:t xml:space="preserve"> In peer review at Frontiers in Blockchain. 40-protocol cross-section: initial token allocation does not predict governance concentration; protocol sector does (DePIN significantly more concentrated than DeFi; Cohen's d = 0.96).</w:t>
      </w:r>
    </w:p>
    <w:p>
      <w:pPr>
        <w:spacing w:after="28" w:before="60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 w:before="60"/>
      </w:pPr>
      <w:r>
        <w:rPr>
          <w:b/>
        </w:rPr>
        <w:t>Methods:</w:t>
      </w:r>
      <w:r>
        <w:rPr>
          <w:b w:val="0"/>
        </w:rP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 w:before="60"/>
      </w:pPr>
      <w:r>
        <w:rPr>
          <w:b/>
        </w:rPr>
        <w:t>Data:</w:t>
      </w:r>
      <w:r>
        <w:rPr>
          <w:b w:val="0"/>
        </w:rP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 w:before="60"/>
      </w:pPr>
      <w:r>
        <w:rPr>
          <w:b/>
        </w:rPr>
        <w:t>Stack:</w:t>
      </w:r>
      <w:r>
        <w:rPr>
          <w:b w:val="0"/>
        </w:rPr>
        <w:t xml:space="preserve"> Python (pandas, statsmodels, scipy, matplotlib), R (fixest, did, synthdid), SQL (DuneSQL, Trino), JavaScript / TypeScript; 22 MCP and API connections wrapping the data sources above plus GitHub; Claude.ai + Claude Code + Cursor with 36-skill library and 17-file living-knowledge architecture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6" w:before="60"/>
        <w:ind w:left="320" w:hanging="160"/>
      </w:pPr>
      <w:r>
        <w:t>• Uniswap Foundation governance committee (2025)</w:t>
      </w:r>
    </w:p>
    <w:p>
      <w:pPr>
        <w:spacing w:after="36" w:before="60"/>
        <w:ind w:left="320" w:hanging="160"/>
      </w:pPr>
      <w:r>
        <w:t>• ETHDenver pitch judge (2025)</w:t>
      </w:r>
    </w:p>
    <w:p>
      <w:pPr>
        <w:spacing w:after="36" w:before="60"/>
        <w:ind w:left="320" w:hanging="160"/>
      </w:pPr>
      <w:r>
        <w:t xml:space="preserve">• </w:t>
      </w:r>
      <w:hyperlink r:id="rId18">
        <w:r>
          <w:rPr>
            <w:rStyle w:val="Hyperlink"/>
            <w:b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FRAMEWORKS AUTHORED</w:t>
      </w:r>
    </w:p>
    <w:p>
      <w:pPr>
        <w:spacing w:after="36" w:before="60"/>
        <w:ind w:left="320" w:hanging="160"/>
      </w:pPr>
      <w:r>
        <w:t xml:space="preserve">• Control Layer Intensity Index (</w:t>
      </w:r>
      <w:hyperlink r:id="rId24" w:history="1">
        <w:r>
          <w:rPr>
            <w:rStyle w:val="Hyperlink"/>
          </w:rPr>
          <w:t xml:space="preserve">CLII</w:t>
        </w:r>
      </w:hyperlink>
      <w:r>
        <w:t xml:space="preserve">), Minimum Viable Equivalence Pack (</w:t>
      </w:r>
      <w:hyperlink r:id="rId25" w:history="1">
        <w:r>
          <w:rPr>
            <w:rStyle w:val="Hyperlink"/>
          </w:rPr>
          <w:t xml:space="preserve">MVEP</w:t>
        </w:r>
      </w:hyperlink>
      <w:r>
        <w:t xml:space="preserve">), MVEP-gated Conditional Pass-Through (</w:t>
      </w:r>
      <w:hyperlink r:id="rId26" w:history="1">
        <w:r>
          <w:rPr>
            <w:rStyle w:val="Hyperlink"/>
          </w:rPr>
          <w:t xml:space="preserve">MGCPT</w:t>
        </w:r>
      </w:hyperlink>
      <w:r>
        <w:t xml:space="preserve">; </w:t>
      </w:r>
      <w:hyperlink r:id="rId27" w:history="1">
        <w:r>
          <w:rPr>
            <w:rStyle w:val="Hyperlink"/>
          </w:rPr>
          <w:t xml:space="preserve">AG19 Rec 7</w:t>
        </w:r>
      </w:hyperlink>
      <w:r>
        <w:t xml:space="preserve">), Three-Category Reserve Disclosure (</w:t>
      </w:r>
      <w:hyperlink r:id="rId28" w:history="1">
        <w:r>
          <w:rPr>
            <w:rStyle w:val="Hyperlink"/>
          </w:rPr>
          <w:t xml:space="preserve">TCRD</w:t>
        </w:r>
      </w:hyperlink>
      <w:r>
        <w:t xml:space="preserve"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 · Investment Club President</w:t>
        <w:br/>
        <w:t xml:space="preserve">· Lingnan University, Hong Kong (exchange)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7810362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adaptive-tokenomics/" TargetMode="External"/><Relationship Id="rId7" Type="http://schemas.openxmlformats.org/officeDocument/2006/relationships/hyperlink" Target="https://tokenization.systems/letters/occ-mvep-v4/" TargetMode="External"/><Relationship Id="rId8" Type="http://schemas.openxmlformats.org/officeDocument/2006/relationships/hyperlink" Target="https://tokenization.systems/letters/occ-supplemental/" TargetMode="External"/><Relationship Id="rId10" Type="http://schemas.openxmlformats.org/officeDocument/2006/relationships/hyperlink" Target="https://tokenization.systems/letters/treasury-genius-state-similarity/" TargetMode="External"/><Relationship Id="rId11" Type="http://schemas.openxmlformats.org/officeDocument/2006/relationships/hyperlink" Target="https://tokenization.systems/letters/fdic-ag19-ppsi-activities/" TargetMode="External"/><Relationship Id="rId12" Type="http://schemas.openxmlformats.org/officeDocument/2006/relationships/hyperlink" Target="https://tokenization.systems/letters/fdic-ag20-ppsi-application/" TargetMode="External"/><Relationship Id="rId13" Type="http://schemas.openxmlformats.org/officeDocument/2006/relationships/hyperlink" Target="https://tokenization.systems/letters/fincen-aml-cft/" TargetMode="External"/><Relationship Id="rId14" Type="http://schemas.openxmlformats.org/officeDocument/2006/relationships/hyperlink" Target="https://tokenization.systems/letters/fincen-ofac-ppsi-sanctions/" TargetMode="External"/><Relationship Id="rId15" Type="http://schemas.openxmlformats.org/officeDocument/2006/relationships/hyperlink" Target="https://tokenization.systems/letters/banking-agencies-joint-aml/" TargetMode="External"/><Relationship Id="rId16" Type="http://schemas.openxmlformats.org/officeDocument/2006/relationships/hyperlink" Target="https://tokenization.systems/papers/routing-the-dollar/" TargetMode="External"/><Relationship Id="rId17" Type="http://schemas.openxmlformats.org/officeDocument/2006/relationships/hyperlink" Target="https://tokenization.systems/papers/governance-concentration/" TargetMode="External"/><Relationship Id="rId18" Type="http://schemas.openxmlformats.org/officeDocument/2006/relationships/hyperlink" Target="https://medium.com/borderless-capital/introduction-to-tokenomics-c7af75c09bfe" TargetMode="External"/><Relationship Id="rId19" Type="http://schemas.openxmlformats.org/officeDocument/2006/relationships/hyperlink" Target="https://tokenization.systems/papers/three-strategies/" TargetMode="External"/><Relationship Id="rId20" Type="http://schemas.openxmlformats.org/officeDocument/2006/relationships/hyperlink" Target="https://tokenization.systems/papers/seven-dollars/" TargetMode="External"/><Relationship Id="rId21" Type="http://schemas.openxmlformats.org/officeDocument/2006/relationships/hyperlink" Target="https://tokenization.systems/papers/mvep/" TargetMode="External"/><Relationship Id="rId22" Type="http://schemas.openxmlformats.org/officeDocument/2006/relationships/hyperlink" Target="https://tokenization.systems/papers/operational-risk/" TargetMode="External"/><Relationship Id="rId23" Type="http://schemas.openxmlformats.org/officeDocument/2006/relationships/hyperlink" Target="https://tokenization.systems/papers/who-burns-the-tokens/" TargetMode="External"/><Relationship Id="rId24" Type="http://schemas.openxmlformats.org/officeDocument/2006/relationships/hyperlink" Target="https://tokenization.systems/frameworks/#clii" TargetMode="External"/><Relationship Id="rId25" Type="http://schemas.openxmlformats.org/officeDocument/2006/relationships/hyperlink" Target="https://tokenization.systems/frameworks/#mvep" TargetMode="External"/><Relationship Id="rId26" Type="http://schemas.openxmlformats.org/officeDocument/2006/relationships/hyperlink" Target="https://tokenization.systems/frameworks/#mgcpt" TargetMode="External"/><Relationship Id="rId27" Type="http://schemas.openxmlformats.org/officeDocument/2006/relationships/hyperlink" Target="https://tokenization.systems/letters/fdic-ag19-ppsi-activities/" TargetMode="External"/><Relationship Id="rId28" Type="http://schemas.openxmlformats.org/officeDocument/2006/relationships/hyperlink" Target="https://tokenization.systems/frameworks/#tcrd" TargetMode="External"/><Relationship Id="rId29" Type="http://schemas.openxmlformats.org/officeDocument/2006/relationships/hyperlink" Target="https://tokenization.systems/papers/dollar-v3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