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60"/>
        <w:jc w:val="center"/>
      </w:pPr>
      <w:r>
        <w:rPr>
          <w:rFonts w:ascii="Arial" w:cs="Arial" w:eastAsia="Arial" w:hAnsi="Arial"/>
          <w:b/>
          <w:bCs/>
          <w:color w:val="1A1A1A"/>
          <w:sz w:val="36"/>
          <w:szCs w:val="36"/>
        </w:rPr>
        <w:t xml:space="preserve">Zach Zukowski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9"/>
          <w:szCs w:val="16"/>
        </w:rPr>
        <w:t xml:space="preserve">Orlando, FL | Zach@Tokenization.Systems | 407-536-8625</w:t>
      </w:r>
    </w:p>
    <w:p>
      <w:pPr>
        <w:spacing w:after="55" w:before="60"/>
        <w:jc w:val="center"/>
      </w:pPr>
      <w:hyperlink w:history="1" r:id="rIdtk3pkbjp0bnea-khivcha">
        <w:r>
          <w:rPr>
            <w:rFonts w:ascii="Arial" w:cs="Arial" w:eastAsia="Arial" w:hAnsi="Arial"/>
            <w:color w:val="2255AA"/>
            <w:sz w:val="19"/>
            <w:szCs w:val="16"/>
          </w:rPr>
          <w:t xml:space="preserve">Tokenization.Systems</w:t>
        </w:r>
      </w:hyperlink>
      <w:r>
        <w:rPr>
          <w:rFonts w:ascii="Arial" w:cs="Arial" w:eastAsia="Arial" w:hAnsi="Arial"/>
          <w:color w:val="444444"/>
          <w:sz w:val="19"/>
          <w:szCs w:val="16"/>
        </w:rPr>
        <w:t xml:space="preserve">  |  </w:t>
      </w:r>
      <w:hyperlink w:history="1" r:id="rIdnnxna0daueqz2sdxissom">
        <w:r>
          <w:rPr>
            <w:rFonts w:ascii="Arial" w:cs="Arial" w:eastAsia="Arial" w:hAnsi="Arial"/>
            <w:color w:val="2255AA"/>
            <w:sz w:val="19"/>
            <w:szCs w:val="16"/>
          </w:rPr>
          <w:t xml:space="preserve">LinkedIn</w:t>
        </w:r>
      </w:hyperlink>
      <w:r>
        <w:rPr>
          <w:rFonts w:ascii="Arial" w:cs="Arial" w:eastAsia="Arial" w:hAnsi="Arial"/>
          <w:color w:val="444444"/>
          <w:sz w:val="19"/>
          <w:szCs w:val="16"/>
        </w:rPr>
        <w:t xml:space="preserve">  |  </w:t>
      </w:r>
      <w:hyperlink w:history="1" r:id="rIdrdmpe-g4zsyvawvrrkisd">
        <w:r>
          <w:rPr>
            <w:rFonts w:ascii="Arial" w:cs="Arial" w:eastAsia="Arial" w:hAnsi="Arial"/>
            <w:color w:val="2255AA"/>
            <w:sz w:val="19"/>
            <w:szCs w:val="16"/>
          </w:rPr>
          <w:t xml:space="preserve">SSRN</w:t>
        </w:r>
      </w:hyperlink>
    </w:p>
    <w:p>
      <w:pPr>
        <w:spacing w:after="15" w:before="60"/>
        <w:jc w:val="center"/>
      </w:pPr>
      <w:r>
        <w:rPr>
          <w:rFonts w:ascii="Arial" w:cs="Arial" w:eastAsia="Arial" w:hAnsi="Arial"/>
          <w:b/>
          <w:bCs/>
          <w:color w:val="1A1A1A"/>
          <w:sz w:val="23"/>
          <w:szCs w:val="23"/>
        </w:rPr>
        <w:t>AI CONTROL-LAYER ACCOUNTABILITY · MACHINE-READABLE STABLECOIN CLASSIFICATION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6"/>
          <w:szCs w:val="16"/>
        </w:rPr>
        <w:t>14 custom MCP servers · ~75 DATs analyzed · diligence⁠-⁠doc review 4hr to 1hr · 8 SSRN papers · 8 federal comment letters · Patent-pending cited-research system architecture (USPTO 64/071,767)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SUMMARY</w:t>
      </w:r>
    </w:p>
    <w:p>
      <w:pPr>
        <w:spacing w:after="38" w:before="60"/>
      </w:pPr>
      <w:r>
        <w:rPr>
          <w:rFonts w:ascii="Arial" w:cs="Arial" w:eastAsia="Arial" w:hAnsi="Arial"/>
          <w:color w:val="1A1A1A"/>
          <w:sz w:val="19"/>
          <w:szCs w:val="16"/>
        </w:rPr>
        <w:t>AI-augmented research and governance infrastructure strategist. Built 14 custom Python MCP servers (FRED macro data, DefiLlama / CoinGecko / Artemis stablecoin and DeFi data, Helius for Solana, Etherscan / Blockscout for EVM chains, rated.network / Beaconcha.in for validator data, Tally for DAO governance, Dune Analytics, Spacescope, Nansen for wallet flows, and GitHub for specs and code) plus AI-assisted diligence workflows reducing subscription-document review ~4x (4 hours to 1 hour per deal) and automated SEC-filing and press-release monitoring covering ~75 Digital Asset Treasury Stocks (DATs) in 2025. Founding research hire at Borderless Capital (RIA, Dec 2019 to Feb 2026); shipped 250 portfolio investments at ~$500M AUM; predicted Thorchain's $200M insolvency 13 months ahead; sourced the LayerZero seed (~80x). Now founder of Tokenization Systems (Feb 2026 to present); published eight SSRN papers including Governance Concentration Beyond Token Allocation (40-protocol cross-section; protocol sector predicts governance concentration more than initial token allocation; Cohen's d = 0.96 between DePIN and DeFi) and Operational Risk in Token Economies. The control-layer / operator-accountability lens extends to AI deployment via the MVEP-AI extension track (8-skill suite) and A7 Control Layer Theory.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EXPERIENCE</w:t>
      </w:r>
    </w:p>
    <w:p>
      <w:pPr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– Present</w:t>
      </w:r>
    </w:p>
    <w:p>
      <w:pPr>
        <w:spacing w:after="36" w:before="60"/>
        <w:ind w:left="320" w:hanging="160"/>
      </w:pPr>
      <w:r>
        <w:t xml:space="preserve">• Authored an eight-paper SSRN-live research program covering the </w:t>
      </w:r>
      <w:hyperlink r:id="rId6">
        <w:r>
          <w:rPr>
            <w:rStyle w:val="Hyperlink"/>
            <w:b/>
          </w:rPr>
          <w:t xml:space="preserve">Control Layer Intensity Index</w:t>
        </w:r>
      </w:hyperlink>
      <w:r>
        <w:t xml:space="preserve"> (CLII) for gateway concentration, the </w:t>
      </w:r>
      <w:hyperlink r:id="rId7">
        <w:r>
          <w:rPr>
            <w:rStyle w:val="Hyperlink"/>
            <w:b/>
          </w:rPr>
          <w:t xml:space="preserve">Minimum Viable Equivalence Pack</w:t>
        </w:r>
      </w:hyperlink>
      <w:r>
        <w:t xml:space="preserve"> (MVEP) for institutional tokenization diligence, programmable monetary-policy design (</w:t>
      </w:r>
      <w:hyperlink r:id="rId8">
        <w:r>
          <w:rPr>
            <w:rStyle w:val="Hyperlink"/>
            <w:b/>
          </w:rPr>
          <w:t xml:space="preserve">Adaptive Tokenomics</w:t>
        </w:r>
      </w:hyperlink>
      <w:r>
        <w:t xml:space="preserve">),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, and </w:t>
      </w:r>
      <w:hyperlink r:id="rId11">
        <w:r>
          <w:rPr>
            <w:rStyle w:val="Hyperlink"/>
          </w:rPr>
          <w:t xml:space="preserve">operational risk in token economies</w:t>
        </w:r>
      </w:hyperlink>
      <w:r>
        <w:t>.</w:t>
      </w:r>
    </w:p>
    <w:p>
      <w:pPr>
        <w:spacing w:after="36" w:before="60"/>
        <w:ind w:left="320" w:hanging="160"/>
      </w:pPr>
      <w:r>
        <w:t xml:space="preserve">• Contributed eight comment letters across a federal regulatory program (OCC bank stablecoin engagement </w:t>
      </w:r>
      <w:hyperlink r:id="rId12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13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14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5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6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7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8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9">
        <w:r>
          <w:rPr>
            <w:rStyle w:val="Hyperlink"/>
          </w:rPr>
          <w:t xml:space="preserve">91 FR 18304</w:t>
        </w:r>
      </w:hyperlink>
      <w:r>
        <w:t xml:space="preserve">); </w:t>
      </w:r>
      <w:hyperlink r:id="rId20">
        <w:r>
          <w:rPr>
            <w:rStyle w:val="Hyperlink"/>
          </w:rPr>
          <w:t xml:space="preserve">Routing the Dollar</w:t>
        </w:r>
      </w:hyperlink>
      <w:r>
        <w:t xml:space="preserve"> submitted to the Federal Reserve Fifth Conference on the Dollar's International Roles (Jun 2026);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 in peer review at Frontiers in Blockchain.</w:t>
      </w:r>
    </w:p>
    <w:p>
      <w:pPr>
        <w:spacing w:after="36" w:before="60"/>
        <w:ind w:left="320" w:hanging="160"/>
      </w:pPr>
      <w:r>
        <w:t>• Working dialogue with capital-markets infrastructure operators on stablecoin, deposit-token, tokenized-deposit, and tokenized-equity deployment.</w:t>
      </w:r>
    </w:p>
    <w:p>
      <w:pPr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– Feb 2026</w:t>
      </w:r>
    </w:p>
    <w:p>
      <w:pPr>
        <w:spacing w:after="36" w:before="60"/>
        <w:ind w:left="320" w:hanging="160"/>
      </w:pPr>
      <w:r>
        <w:t>• Built automated SEC-filing and press-release monitoring for Digital Asset Treasury Stocks (DATs); analyzed ~75 tokenization offerings in 2025 and invested in 18; AI-assisted diligence workflows reducing subscription-document review from ~4 hours to ~1 hour per deal.</w:t>
      </w:r>
    </w:p>
    <w:p>
      <w:pPr>
        <w:spacing w:after="36" w:before="60"/>
        <w:ind w:left="320" w:hanging="160"/>
      </w:pPr>
      <w:r>
        <w:t>• Built quantitative token-economic models forecasting emissions, fee capture, subsidy-to-revenue trajectories, and governance concentration under wide scenario ranges; supply-equilibrium and slashing dynamics supporting Layer 1 mechanism-design advisory.</w:t>
      </w:r>
    </w:p>
    <w:p>
      <w:pPr>
        <w:spacing w:after="36" w:before="60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; Borderless held no exposure when the predicted failure mode materialized.</w:t>
      </w:r>
    </w:p>
    <w:p>
      <w:pPr>
        <w:spacing w:after="36" w:before="60"/>
        <w:ind w:left="320" w:hanging="160"/>
      </w:pPr>
      <w:r>
        <w:t xml:space="preserve">• Sourced the </w:t>
      </w:r>
      <w:r>
        <w:rPr>
          <w:b/>
        </w:rPr>
        <w:t>LayerZero seed round</w:t>
      </w:r>
      <w:r>
        <w:t xml:space="preserve"> investment for Borderless, returning ~80x; the underlying cross-chain interoperability thesis preceded the firm's Cross-Chain Ecosystem Fund by two years.</w:t>
      </w:r>
    </w:p>
    <w:p>
      <w:pPr>
        <w:spacing w:after="36" w:before="60"/>
        <w:ind w:left="320" w:hanging="160"/>
      </w:pPr>
      <w:r>
        <w:t xml:space="preserve">• Advised 100 portfolio companies 1-on-1 on token mechanism design (stablecoin reserves, governance-token allocation and incentive design, yield wrappers, burn/emission dynamics); standards defined in </w:t>
      </w:r>
      <w:hyperlink r:id="rId21">
        <w:r>
          <w:rPr>
            <w:rStyle w:val="Hyperlink"/>
            <w:b/>
          </w:rPr>
          <w:t xml:space="preserve">Introduction to Tokenomics</w:t>
        </w:r>
      </w:hyperlink>
      <w:r>
        <w:t>.</w:t>
      </w:r>
    </w:p>
    <w:p>
      <w:pPr>
        <w:spacing w:after="36" w:before="60"/>
        <w:ind w:left="320" w:hanging="160"/>
      </w:pPr>
      <w:r>
        <w:t>• Mapped jurisdictional tax / regulatory advantages of DAT structures over direct crypto holding: Japan's Metaplanet DAT cuts crypto capital-gains tax from up to 55% to 20% (equity rate, further reducible via Japan's IRA structure); Hong Kong's Southbound Connect could give mainland Chinese capital regulated access to crypto banned domestically.</w:t>
      </w:r>
    </w:p>
    <w:p>
      <w:pPr>
        <w:spacing w:after="36" w:before="60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Legal.</w:t>
      </w:r>
    </w:p>
    <w:p>
      <w:pPr>
        <w:spacing w:after="36" w:before="60"/>
        <w:ind w:left="320" w:hanging="160"/>
      </w:pPr>
      <w:r>
        <w:t>• Led discovery and diligence across a 1,000+ deal investment funnel (pre-seed to Series C); shipped 250 portfolio investments at ~25% deployment rate across ~10 institutional funds (~$500M AUM), with build/partner/hold recommendations to committee.</w:t>
      </w:r>
    </w:p>
    <w:p>
      <w:pPr>
        <w:spacing w:after="36" w:before="60"/>
        <w:ind w:left="320" w:hanging="160"/>
      </w:pPr>
      <w:r>
        <w:t>• Built the firm's research function from scratch; led a four-analyst team producing ~25 long-form publications annually; taught 100 teams across nine accelerator programs (2021 to 2025).</w:t>
      </w:r>
    </w:p>
    <w:p>
      <w:pPr>
        <w:pageBreakBefore/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SELECTED RESEARCH</w:t>
      </w:r>
    </w:p>
    <w:p>
      <w:pPr>
        <w:spacing w:after="28" w:before="60"/>
        <w:ind w:left="320" w:hanging="160"/>
      </w:pPr>
      <w:r>
        <w:t xml:space="preserve">• </w:t>
      </w:r>
      <w:hyperlink r:id="rId10">
        <w:r>
          <w:rPr>
            <w:rStyle w:val="Hyperlink"/>
            <w:b/>
          </w:rPr>
          <w:t xml:space="preserve">Governance Concentration Beyond Token Allocation.</w:t>
        </w:r>
      </w:hyperlink>
      <w:r>
        <w:t xml:space="preserve"> In peer review at Frontiers in Blockchain. 40-protocol cross-section: initial token allocation does not predict governance concentration; protocol sector does (DePIN significantly more concentrated than DeFi; Cohen's d = 0.96).</w:t>
      </w:r>
    </w:p>
    <w:p>
      <w:pPr>
        <w:spacing w:after="28" w:before="60"/>
        <w:ind w:left="320" w:hanging="160"/>
      </w:pPr>
      <w:r>
        <w:t xml:space="preserve">• </w:t>
      </w:r>
      <w:hyperlink r:id="rId11">
        <w:r>
          <w:rPr>
            <w:rStyle w:val="Hyperlink"/>
            <w:b/>
          </w:rPr>
          <w:t xml:space="preserve">Operational Risk in Token Economies.</w:t>
        </w:r>
      </w:hyperlink>
      <w:r>
        <w:t xml:space="preserve"> Operational-risk taxonomy (74 risk vectors, 64 testable controls, 31 program objectives) mapped to a 624-scenario battery; Lido V3 staking-vault case study.</w:t>
      </w:r>
    </w:p>
    <w:p>
      <w:pPr>
        <w:spacing w:after="28" w:before="60"/>
        <w:ind w:left="320" w:hanging="160"/>
      </w:pPr>
      <w:r>
        <w:t xml:space="preserve">• </w:t>
      </w:r>
      <w:hyperlink r:id="rId8">
        <w:r>
          <w:rPr>
            <w:rStyle w:val="Hyperlink"/>
            <w:b/>
          </w:rPr>
          <w:t xml:space="preserve">Adaptive Tokenomics.</w:t>
        </w:r>
      </w:hyperlink>
      <w:r>
        <w:t xml:space="preserve"> Industrial control engineering (PID controller) applied to token-supply emission as programmable monetary-policy mechanism; 240-scenario Monte Carlo simulation; cuts worst-case supply volatility ~6x under competitor-shock attack.</w:t>
      </w:r>
    </w:p>
    <w:p>
      <w:pPr>
        <w:spacing w:after="28" w:before="60"/>
        <w:ind w:left="320" w:hanging="160"/>
      </w:pPr>
      <w:r>
        <w:t xml:space="preserve">• </w:t>
      </w:r>
      <w:hyperlink r:id="rId22">
        <w:r>
          <w:rPr>
            <w:rStyle w:val="Hyperlink"/>
            <w:b/>
          </w:rPr>
          <w:t xml:space="preserve">Who Burns the Tokens?</w:t>
        </w:r>
      </w:hyperlink>
      <w:r>
        <w:t xml:space="preserve"> Burn-mechanism design (carrier contracts vs. subscriptions) drives demand concentration: Helium's carrier-contract model concentrates ~90% of token burns in 5 purchasers (HHI 0.22) despite ~1M hotspots; coalition-power analysis extends standard concentration measures for single-address risk.</w:t>
      </w:r>
    </w:p>
    <w:p>
      <w:pPr>
        <w:spacing w:after="28" w:before="60"/>
        <w:ind w:left="320" w:hanging="160"/>
      </w:pPr>
      <w:r>
        <w:t xml:space="preserve">• </w:t>
      </w:r>
      <w:hyperlink r:id="rId20">
        <w:r>
          <w:rPr>
            <w:rStyle w:val="Hyperlink"/>
            <w:b/>
          </w:rPr>
          <w:t xml:space="preserve">Routing the Dollar.</w:t>
        </w:r>
      </w:hyperlink>
      <w:r>
        <w:t xml:space="preserve"> Submitted to Federal Reserve / FRBNY Fifth Conference on the Dollar's International Roles (Jun 2026). Gateway concentration; CLII across 19 gateways including Visa Direct-adjacent paths.</w:t>
      </w:r>
    </w:p>
    <w:p>
      <w:pPr>
        <w:spacing w:after="28" w:before="60"/>
        <w:ind w:left="320" w:hanging="160"/>
      </w:pPr>
      <w:r>
        <w:t xml:space="preserve">• </w:t>
      </w:r>
      <w:hyperlink r:id="rId7">
        <w:r>
          <w:rPr>
            <w:rStyle w:val="Hyperlink"/>
            <w:b/>
          </w:rPr>
          <w:t xml:space="preserve">Minimum Viable Equivalence Pack.</w:t>
        </w:r>
      </w:hyperlink>
      <w:r>
        <w:t xml:space="preserve"> Ten-category institutional diligence standard; finds bank-chartered stablecoin issuers face ~22x the regulatory capital requirements of money-transmitter-chartered issuers at $40B scale.</w:t>
      </w:r>
    </w:p>
    <w:p>
      <w:pPr>
        <w:spacing w:after="28" w:before="60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Three Tokenization Strategies.</w:t>
        </w:r>
      </w:hyperlink>
      <w:r>
        <w:t xml:space="preserve"> Each of three strategies satisfies different MVEP categories with measurably different strength (Regulated Collateral Circuit, Multi-Issuer Yield Stack, Tokenized Equity Rails); Securitize as cross-strategy concentration risk.</w:t>
      </w:r>
    </w:p>
    <w:p>
      <w:pPr>
        <w:spacing w:after="28" w:before="60"/>
        <w:ind w:left="320" w:hanging="160"/>
      </w:pPr>
      <w:r>
        <w:t xml:space="preserve">• </w:t>
      </w:r>
      <w:hyperlink r:id="rId24">
        <w:r>
          <w:rPr>
            <w:rStyle w:val="Hyperlink"/>
            <w:b/>
          </w:rPr>
          <w:t xml:space="preserve">Seven Dollars.</w:t>
        </w:r>
      </w:hyperlink>
      <w:r>
        <w:t xml:space="preserve"> Cross-product framework for major dollar-denominated digital products; CLII / MVEP decoupling; stress propagation through dependency chains (SVB, Circle pool, Paxos).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TECHNICAL</w:t>
      </w:r>
    </w:p>
    <w:p>
      <w:pPr>
        <w:spacing w:after="22" w:before="60"/>
      </w:pPr>
      <w:r>
        <w:rPr>
          <w:b/>
        </w:rPr>
        <w:t>Methods:</w:t>
      </w:r>
      <w: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 w:before="60"/>
      </w:pPr>
      <w:r>
        <w:rPr>
          <w:b/>
        </w:rPr>
        <w:t>Data:</w:t>
      </w:r>
      <w:r>
        <w:t xml:space="preserve"> Dune Analytics, Nansen Pro, Artemis, DefiLlama, CoinGecko, Helius (Solana), Etherscan, Blockscout (EVM), Spacescope, Token Terminal, Tally (DAO governance), rated.network, Beaconcha.in (validator data), FRED (macro); automated SEC filing and press release monitoring</w:t>
      </w:r>
    </w:p>
    <w:p>
      <w:pPr>
        <w:spacing w:after="22" w:before="60"/>
      </w:pPr>
      <w:r>
        <w:rPr>
          <w:b/>
        </w:rPr>
        <w:t>Stack:</w:t>
      </w:r>
      <w:r>
        <w:t xml:space="preserve"> Python (pandas, statsmodels, scipy, matplotlib), R (fixest, did, synthdid), SQL (DuneSQL, Trino), JavaScript / TypeScript; 14 custom Python MCP servers wrapping the data sources above plus GitHub; Claude.ai + Claude Code + Cursor with 36-skill library and 17-file living-knowledge architecture; n8n, Apify, Git / GitHub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>RECOGNITION</w:t>
      </w:r>
    </w:p>
    <w:p>
      <w:pPr>
        <w:spacing w:after="36" w:before="60"/>
        <w:ind w:left="320" w:hanging="160"/>
      </w:pPr>
      <w:r>
        <w:t>• Uniswap Foundation governance committee (2024)</w:t>
      </w:r>
    </w:p>
    <w:p>
      <w:pPr>
        <w:spacing w:after="36" w:before="60"/>
        <w:ind w:left="320" w:hanging="160"/>
      </w:pPr>
      <w:r>
        <w:t>• ETHDenver pitch judge</w:t>
      </w:r>
    </w:p>
    <w:p>
      <w:pPr>
        <w:spacing w:after="36" w:before="60"/>
        <w:ind w:left="320" w:hanging="160"/>
      </w:pPr>
      <w:r>
        <w:t xml:space="preserve">• </w:t>
      </w:r>
      <w:hyperlink r:id="rId21">
        <w:r>
          <w:rPr>
            <w:rStyle w:val="Hyperlink"/>
            <w:b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EDUCATION</w:t>
      </w:r>
    </w:p>
    <w:p>
      <w:pPr>
        <w:tabs>
          <w:tab w:val="right" w:pos="10320"/>
        </w:tabs>
        <w:spacing w:after="0" w:before="6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High Point University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 | B.S.B.A., Business Administration (Magna Cum Laude) · Investment Club President</w:t>
      </w:r>
      <w:r>
        <w:rPr>
          <w:rFonts w:ascii="Arial" w:cs="Arial" w:eastAsia="Arial" w:hAnsi="Arial"/>
          <w:sz w:val="19"/>
          <w:szCs w:val="19"/>
        </w:rPr>
        <w:t xml:space="preserve">	</w:t>
      </w: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2018</w:t>
      </w:r>
    </w:p>
    <w:p>
      <w:pPr>
        <w:spacing w:after="0" w:before="60"/>
      </w:pPr>
      <w:r>
        <w:rPr>
          <w:rFonts w:ascii="Arial" w:cs="Arial" w:eastAsia="Arial" w:hAnsi="Arial"/>
          <w:color w:val="444444"/>
          <w:sz w:val="18"/>
          <w:szCs w:val="18"/>
        </w:rPr>
        <w:t>Lingnan University, Hong Kong (Exchange)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7810362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papers/control-layer-war/" TargetMode="External"/><Relationship Id="rId7" Type="http://schemas.openxmlformats.org/officeDocument/2006/relationships/hyperlink" Target="https://tokenization.systems/papers/mvep/" TargetMode="External"/><Relationship Id="rId8" Type="http://schemas.openxmlformats.org/officeDocument/2006/relationships/hyperlink" Target="https://tokenization.systems/papers/adaptive-tokenomics/" TargetMode="External"/><Relationship Id="rId10" Type="http://schemas.openxmlformats.org/officeDocument/2006/relationships/hyperlink" Target="https://tokenization.systems/papers/governance-concentration/" TargetMode="External"/><Relationship Id="rId11" Type="http://schemas.openxmlformats.org/officeDocument/2006/relationships/hyperlink" Target="https://tokenization.systems/papers/operational-risk/" TargetMode="External"/><Relationship Id="rId12" Type="http://schemas.openxmlformats.org/officeDocument/2006/relationships/hyperlink" Target="https://tokenization.systems/letters/occ-mvep-v4/" TargetMode="External"/><Relationship Id="rId13" Type="http://schemas.openxmlformats.org/officeDocument/2006/relationships/hyperlink" Target="https://tokenization.systems/letters/occ-supplemental/" TargetMode="External"/><Relationship Id="rId14" Type="http://schemas.openxmlformats.org/officeDocument/2006/relationships/hyperlink" Target="https://tokenization.systems/letters/treasury-genius-state-similarity/" TargetMode="External"/><Relationship Id="rId15" Type="http://schemas.openxmlformats.org/officeDocument/2006/relationships/hyperlink" Target="https://tokenization.systems/letters/fdic-ag19-ppsi-activities/" TargetMode="External"/><Relationship Id="rId16" Type="http://schemas.openxmlformats.org/officeDocument/2006/relationships/hyperlink" Target="https://tokenization.systems/letters/fdic-ag20-ppsi-application/" TargetMode="External"/><Relationship Id="rId17" Type="http://schemas.openxmlformats.org/officeDocument/2006/relationships/hyperlink" Target="https://tokenization.systems/letters/fincen-aml-cft/" TargetMode="External"/><Relationship Id="rId18" Type="http://schemas.openxmlformats.org/officeDocument/2006/relationships/hyperlink" Target="https://tokenization.systems/letters/fincen-ofac-ppsi-sanctions/" TargetMode="External"/><Relationship Id="rId19" Type="http://schemas.openxmlformats.org/officeDocument/2006/relationships/hyperlink" Target="https://tokenization.systems/letters/banking-agencies-joint-aml/" TargetMode="External"/><Relationship Id="rId20" Type="http://schemas.openxmlformats.org/officeDocument/2006/relationships/hyperlink" Target="https://tokenization.systems/papers/routing-the-dollar/" TargetMode="External"/><Relationship Id="rId21" Type="http://schemas.openxmlformats.org/officeDocument/2006/relationships/hyperlink" Target="https://medium.com/borderless-capital/introduction-to-tokenomics-c7af75c09bfe" TargetMode="External"/><Relationship Id="rId22" Type="http://schemas.openxmlformats.org/officeDocument/2006/relationships/hyperlink" Target="https://tokenization.systems/papers/who-burns-the-tokens/" TargetMode="External"/><Relationship Id="rId23" Type="http://schemas.openxmlformats.org/officeDocument/2006/relationships/hyperlink" Target="https://tokenization.systems/papers/three-strategies/" TargetMode="External"/><Relationship Id="rId24" Type="http://schemas.openxmlformats.org/officeDocument/2006/relationships/hyperlink" Target="https://tokenization.systems/papers/seven-dollars/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