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74-vector risk taxonomy · 64 testable controls · 624-scenario simulation battery</w:t>
        <w:br/>
        <w:t xml:space="preserve">· Thorchain $200M insolvency modeled 13 months ahead · 8 SSRN papers · 8 federal comment letters · Patent-pending cited-research system architecture (USPTO 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Operational risk and scenario-modeling strategist. In Dec 2023 authored a 10-step scenario-modeling memo predicting Thorchain's eventual $200M insolvency in a protocol whose token had peaked at $3.3B market cap; predicted failure mode materialized in Jan 2025 (13 months later); the firm held no exposure. Founding research hire at Borderless Capital (RIA, Dec 2019 to Feb 2026); built quantitative token-economic models forecasting emissions, fee capture, subsidy-to-revenue trajectories, and governance concentration under wide scenario ranges. Now founder of Tokenization Systems (Feb 2026 to present); published Operational Risk in Token Economies (74-vector taxonomy mapped to 64 testable controls and 31 program objectives across a 624-scenario simulation battery; Lido V3 staking-vault production case study) and Adaptive Tokenomics (industrial-control-engineering PID controller; 240-scenario Monte Carlo; ~6x worst-case supply-volatility compression under competitor-shock attack). Contributed eight federal regulatory comment letters across stablecoin and banking dockets. Authored the Operational Risk in Token Economies taxonomy: 74 risk vectors mapped to 64 testable controls and 31 program objectives across a 624-scenario simulation battery; Lido V3 staking-vault case study.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