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321-236-2261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STABLECOIN, TOKENIZATION &amp; PAYMENTS STRATEGY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and tokenization strategist with experience advising 100+ tokenization engagements across stablecoin issuers, tokenized real-world assets, and lending platforms. Founding research hire at Borderless Capital (a registered investment adviser), where I built the research function from scratch and supported underwriting across ~250 investments and ~$500M in assets under management. Specializes in reserve custody, redemption architecture, settlement design, and portability risk across providers and networks. Seven-paper research program (four on SSRN), with work submitted to the Federal Reserve’s Fifth Conference on the Dollar’s International Roles (June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Advised on 100+ tokenization engagements across stablecoin issuers, tokenized real-world assets, and lending platforms: reserve architecture, incentive design, launch-readiness standards, and regulatory surface mapping.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 and tokenization settlement infrastructure: reserve custody and composition, redemption pathways and service-level agreements, settlement finality, concentration and portability risk, and stress-episode behavior across issuers, custodians, and settlement banks.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Translated regulatory change (GENIUS Act, CLARITY Act, state licensing frameworks) into concrete product, reserve, routing, and compliance decisions. Research on how payment stablecoins, tokenized deposits, and yield-bearing wrappers (tokenized money-market funds, T-bill strategies) each inherit distinct regulatory perimeters informs product design, compliance architecture, and go-to-market strategy.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classifying regulatory intensity (custody segregation, reconciliation integrity, and concentration risk), and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framework defining nine categories of institutional tokenization diligence. Both published on SSRN.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automated monitoring for tokenization products from SEC filings and press releases; analyzed ~75 tokenization offerings in 2025 and invested in 18. Built AI-assisted diligence workflows reducing subscription-document review time from ~4 hours to ~1 hour per deal.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subsidy-to-revenue trajectories, and governance concentration under wide scenario ranges. Modeled token supply equilibrium (burn-mint dynamics), adaptive feedback emission controllers, and penalty-driven token destruction (slashing) to guide mechanism design and advisory with leading Layer 1 teams.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firm’s research function from scratch and led a four-analyst team producing ~25 long-form publications annually. Supported underwriting across ~250 investments (~$500M AUM, ~10 funds). Led 9 accelerator programs (~75 teams taught); served on a Uniswap Foundation governance committee (2024); ETHDenver pitch judge.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gateway infrastructure concentrates control, routes settlement, and determines operator accountability under stress.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CLARITY and GENIUS provisions concentrate value and liability at the control layer operators build.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The institutional diligence standard operators must clear before tokenized products reach committee.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Adaptive Tokenomics.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Systems-engineering design laboratory stress-tested with 240-run Monte Carlo ensemble across four adversarial scenarios. Adaptive emissions as tail-risk insurance; slashing dominates supply during bootstrapping.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Agent-based Monte Carlo simulation, adaptive feedback control systems, token supply equilibrium modeling, concentration and scenario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CoinGecko, Helius, Spacescope, SEC filing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