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40"/>
          <w:szCs w:val="40"/>
        </w:rPr>
        <w:t xml:space="preserve">Zach Zukowski</w:t>
      </w:r>
    </w:p>
    <w:p>
      <w:pPr>
        <w:spacing w:after="10"/>
        <w:jc w:val="center"/>
      </w:pPr>
      <w:r>
        <w:rPr>
          <w:rFonts w:ascii="Arial" w:cs="Arial" w:eastAsia="Arial" w:hAnsi="Arial"/>
          <w:color w:val="444444"/>
          <w:sz w:val="19"/>
          <w:szCs w:val="19"/>
        </w:rPr>
        <w:t xml:space="preserve">Orlando, FL | Zach@Tokenization.Systems | 321-236-2261</w:t>
      </w:r>
    </w:p>
    <w:p>
      <w:pPr>
        <w:spacing w:after="55"/>
        <w:jc w:val="center"/>
      </w:pPr>
      <w:hyperlink w:history="1" r:id="rIdl2mfd3v9zedjhok7kvcpb">
        <w:r>
          <w:rPr>
            <w:rFonts w:ascii="Arial" w:cs="Arial" w:eastAsia="Arial" w:hAnsi="Arial"/>
            <w:color w:val="2255AA"/>
            <w:sz w:val="19"/>
            <w:szCs w:val="19"/>
          </w:rPr>
          <w:t xml:space="preserve">tokenization.systems</w:t>
        </w:r>
      </w:hyperlink>
      <w:r>
        <w:rPr>
          <w:rFonts w:ascii="Arial" w:cs="Arial" w:eastAsia="Arial" w:hAnsi="Arial"/>
          <w:color w:val="444444"/>
          <w:sz w:val="19"/>
          <w:szCs w:val="19"/>
        </w:rPr>
        <w:t xml:space="preserve">  |  </w:t>
      </w:r>
      <w:hyperlink w:history="1" r:id="rIdv0hbkaxebreghp0ezpgrj">
        <w:r>
          <w:rPr>
            <w:rFonts w:ascii="Arial" w:cs="Arial" w:eastAsia="Arial" w:hAnsi="Arial"/>
            <w:color w:val="2255AA"/>
            <w:sz w:val="19"/>
            <w:szCs w:val="19"/>
          </w:rPr>
          <w:t xml:space="preserve">LinkedIn</w:t>
        </w:r>
      </w:hyperlink>
      <w:r>
        <w:rPr>
          <w:rFonts w:ascii="Arial" w:cs="Arial" w:eastAsia="Arial" w:hAnsi="Arial"/>
          <w:color w:val="444444"/>
          <w:sz w:val="19"/>
          <w:szCs w:val="19"/>
        </w:rPr>
        <w:t xml:space="preserve">  |  </w:t>
      </w:r>
      <w:hyperlink w:history="1" r:id="rId-mewv3mts_6gjgvfbxlil">
        <w:r>
          <w:rPr>
            <w:rFonts w:ascii="Arial" w:cs="Arial" w:eastAsia="Arial" w:hAnsi="Arial"/>
            <w:color w:val="2255AA"/>
            <w:sz w:val="19"/>
            <w:szCs w:val="19"/>
          </w:rPr>
          <w:t xml:space="preserve">SSRN</w:t>
        </w:r>
      </w:hyperlink>
    </w:p>
    <w:p>
      <w:pPr>
        <w:spacing w:after="15"/>
        <w:jc w:val="center"/>
      </w:pPr>
      <w:r>
        <w:rPr>
          <w:rFonts w:ascii="Arial" w:cs="Arial" w:eastAsia="Arial" w:hAnsi="Arial"/>
          <w:b/>
          <w:bCs/>
          <w:color w:val="1A1A1A"/>
          <w:sz w:val="23"/>
          <w:szCs w:val="23"/>
        </w:rPr>
        <w:t xml:space="preserve">DIGITAL MONEY, TOKENIZATION &amp; MARKET INFRASTRUCTURE RESEARCH</w:t>
      </w:r>
    </w:p>
    <w:p>
      <w:pPr>
        <w:pBdr>
          <w:bottom w:val="single" w:color="AAAAAA" w:sz="3" w:space="1"/>
        </w:pBdr>
        <w:spacing w:before="125" w:after="42"/>
      </w:pPr>
      <w:r>
        <w:rPr>
          <w:rFonts w:ascii="Arial" w:cs="Arial" w:eastAsia="Arial" w:hAnsi="Arial"/>
          <w:b/>
          <w:bCs/>
          <w:color w:val="1A1A1A"/>
          <w:sz w:val="20"/>
          <w:szCs w:val="20"/>
        </w:rPr>
        <w:t xml:space="preserve">SUMMARY</w:t>
      </w:r>
    </w:p>
    <w:p>
      <w:pPr>
        <w:spacing w:after="38"/>
      </w:pPr>
      <w:r>
        <w:rPr>
          <w:rFonts w:ascii="Arial" w:cs="Arial" w:eastAsia="Arial" w:hAnsi="Arial"/>
          <w:color w:val="1A1A1A"/>
          <w:sz w:val="19"/>
          <w:szCs w:val="19"/>
        </w:rPr>
        <w:t xml:space="preserve">Research and strategy professional focused on digital money, tokenization, payment-market infrastructure, and financial stability. Founding research hire at Borderless Capital (a registered investment adviser), where I built the digital asset research function from scratch and led a four-analyst team supporting diligence and monitoring across ~250 investments and ~$500M in assets under management. Author of a seven-paper research program on gateway concentration, reserve and custody design, tokenized-product equivalence, and dollar transmission (four papers on SSRN; work submitted to the Fifth Conference on the International Roles of the U.S. Dollar, hosted by the Federal Reserve Board and Federal Reserve Bank of New York, June 2026). Focused on where risk concentrates, who controls routing, and who bears accountability when the system is under stress.</w:t>
      </w:r>
    </w:p>
    <w:p>
      <w:pPr>
        <w:pBdr>
          <w:bottom w:val="single" w:color="AAAAAA" w:sz="3" w:space="1"/>
        </w:pBdr>
        <w:spacing w:before="125" w:after="42"/>
      </w:pPr>
      <w:r>
        <w:rPr>
          <w:rFonts w:ascii="Arial" w:cs="Arial" w:eastAsia="Arial" w:hAnsi="Arial"/>
          <w:b/>
          <w:bCs/>
          <w:color w:val="1A1A1A"/>
          <w:sz w:val="20"/>
          <w:szCs w:val="20"/>
        </w:rPr>
        <w:t xml:space="preserve">EXPERIENCE</w:t>
      </w:r>
    </w:p>
    <w:p>
      <w:pPr>
        <w:tabs>
          <w:tab w:val="right" w:pos="10320"/>
        </w:tabs>
        <w:spacing w:after="28"/>
      </w:pPr>
      <w:r>
        <w:rPr>
          <w:rFonts w:ascii="Arial" w:cs="Arial" w:eastAsia="Arial" w:hAnsi="Arial"/>
          <w:b/>
          <w:bCs/>
          <w:color w:val="1A1A1A"/>
          <w:sz w:val="19"/>
          <w:szCs w:val="19"/>
        </w:rPr>
        <w:t xml:space="preserve">Senior Investment Analyst, Digital Assets</w:t>
      </w:r>
      <w:r>
        <w:rPr>
          <w:rFonts w:ascii="Arial" w:cs="Arial" w:eastAsia="Arial" w:hAnsi="Arial"/>
          <w:color w:val="1A1A1A"/>
          <w:sz w:val="19"/>
          <w:szCs w:val="19"/>
        </w:rPr>
        <w:t xml:space="preserve"> | Borderless Capital (RIA; first hire)</w:t>
      </w:r>
      <w:r>
        <w:rPr>
          <w:rFonts w:ascii="Arial" w:cs="Arial" w:eastAsia="Arial" w:hAnsi="Arial"/>
          <w:sz w:val="19"/>
          <w:szCs w:val="19"/>
        </w:rPr>
        <w:t xml:space="preserve">	</w:t>
      </w:r>
      <w:r>
        <w:rPr>
          <w:rFonts w:ascii="Arial" w:cs="Arial" w:eastAsia="Arial" w:hAnsi="Arial"/>
          <w:i/>
          <w:iCs/>
          <w:color w:val="666666"/>
          <w:sz w:val="19"/>
          <w:szCs w:val="19"/>
        </w:rPr>
        <w:t xml:space="preserve">Dec 2019 – Present</w:t>
      </w:r>
    </w:p>
    <w:p>
      <w:pPr>
        <w:spacing w:after="36"/>
        <w:ind w:left="320" w:hanging="160"/>
      </w:pPr>
      <w:r>
        <w:rPr>
          <w:rFonts w:ascii="Arial" w:cs="Arial" w:eastAsia="Arial" w:hAnsi="Arial"/>
          <w:color w:val="1A1A1A"/>
          <w:sz w:val="19"/>
          <w:szCs w:val="19"/>
        </w:rPr>
        <w:t xml:space="preserve">• </w:t>
      </w:r>
      <w:r>
        <w:rPr>
          <w:rFonts w:ascii="Arial" w:cs="Arial" w:eastAsia="Arial" w:hAnsi="Arial"/>
          <w:color w:val="1A1A1A"/>
          <w:sz w:val="19"/>
          <w:szCs w:val="19"/>
        </w:rPr>
        <w:t xml:space="preserve">Led research on stablecoin and tokenized-cash infrastructure: reserve custody and composition, redemption pathways and service-level agreements, settlement finality, concentration and portability risk, and stress-episode behavior across issuers, custodians, and settlement banks. Built a 19-gateway, 51-address Ethereum counterparty registry and multi-chain settlement-flow decomposition to enable gateway-level comparative analysis.</w:t>
      </w:r>
    </w:p>
    <w:p>
      <w:pPr>
        <w:spacing w:after="36"/>
        <w:ind w:left="320" w:hanging="160"/>
      </w:pPr>
      <w:r>
        <w:rPr>
          <w:rFonts w:ascii="Arial" w:cs="Arial" w:eastAsia="Arial" w:hAnsi="Arial"/>
          <w:color w:val="1A1A1A"/>
          <w:sz w:val="19"/>
          <w:szCs w:val="19"/>
        </w:rPr>
        <w:t xml:space="preserve">• </w:t>
      </w:r>
      <w:r>
        <w:rPr>
          <w:rFonts w:ascii="Arial" w:cs="Arial" w:eastAsia="Arial" w:hAnsi="Arial"/>
          <w:color w:val="1A1A1A"/>
          <w:sz w:val="19"/>
          <w:szCs w:val="19"/>
        </w:rPr>
        <w:t xml:space="preserve">Developed the </w:t>
      </w:r>
      <w:r>
        <w:rPr>
          <w:rFonts w:ascii="Arial" w:cs="Arial" w:eastAsia="Arial" w:hAnsi="Arial"/>
          <w:b/>
          <w:bCs/>
          <w:color w:val="1A1A1A"/>
          <w:sz w:val="19"/>
          <w:szCs w:val="19"/>
        </w:rPr>
        <w:t xml:space="preserve">Control Layer Intensity Index (CLII)</w:t>
      </w:r>
      <w:r>
        <w:rPr>
          <w:rFonts w:ascii="Arial" w:cs="Arial" w:eastAsia="Arial" w:hAnsi="Arial"/>
          <w:color w:val="1A1A1A"/>
          <w:sz w:val="19"/>
          <w:szCs w:val="19"/>
        </w:rPr>
        <w:t xml:space="preserve">, classifying regulatory intensity across stablecoin gateways (custody segregation, reconciliation integrity, and concentration risk). Applied cointegration testing linking stablecoin supply and Federal Reserve balance-sheet variables across policy regimes; traced SVB cascading contagion and BUSD routing migration through gateway infrastructure. Key finding: gateway concentration rose as volume doubled from 2023 to 2025 while unique counterparties fell 25%, indicating rising systemic dependence on fewer intermediaries.</w:t>
      </w:r>
    </w:p>
    <w:p>
      <w:pPr>
        <w:spacing w:after="36"/>
        <w:ind w:left="320" w:hanging="160"/>
      </w:pPr>
      <w:r>
        <w:rPr>
          <w:rFonts w:ascii="Arial" w:cs="Arial" w:eastAsia="Arial" w:hAnsi="Arial"/>
          <w:color w:val="1A1A1A"/>
          <w:sz w:val="19"/>
          <w:szCs w:val="19"/>
        </w:rPr>
        <w:t xml:space="preserve">• </w:t>
      </w:r>
      <w:r>
        <w:rPr>
          <w:rFonts w:ascii="Arial" w:cs="Arial" w:eastAsia="Arial" w:hAnsi="Arial"/>
          <w:color w:val="1A1A1A"/>
          <w:sz w:val="19"/>
          <w:szCs w:val="19"/>
        </w:rPr>
        <w:t xml:space="preserve">Developed the </w:t>
      </w:r>
      <w:r>
        <w:rPr>
          <w:rFonts w:ascii="Arial" w:cs="Arial" w:eastAsia="Arial" w:hAnsi="Arial"/>
          <w:b/>
          <w:bCs/>
          <w:color w:val="1A1A1A"/>
          <w:sz w:val="19"/>
          <w:szCs w:val="19"/>
        </w:rPr>
        <w:t xml:space="preserve">Minimum Viable Equivalence Pack (MVEP)</w:t>
      </w:r>
      <w:r>
        <w:rPr>
          <w:rFonts w:ascii="Arial" w:cs="Arial" w:eastAsia="Arial" w:hAnsi="Arial"/>
          <w:color w:val="1A1A1A"/>
          <w:sz w:val="19"/>
          <w:szCs w:val="19"/>
        </w:rPr>
        <w:t xml:space="preserve">, a nine-category institutional diligence framework for tokenized products covering rights parity, system of record, reconciliation, custody, insolvency posture, settlement finality, exception handling, governance, and disclosures. Both frameworks published on SSRN.</w:t>
      </w:r>
    </w:p>
    <w:p>
      <w:pPr>
        <w:spacing w:after="36"/>
        <w:ind w:left="320" w:hanging="160"/>
      </w:pPr>
      <w:r>
        <w:rPr>
          <w:rFonts w:ascii="Arial" w:cs="Arial" w:eastAsia="Arial" w:hAnsi="Arial"/>
          <w:color w:val="1A1A1A"/>
          <w:sz w:val="19"/>
          <w:szCs w:val="19"/>
        </w:rPr>
        <w:t xml:space="preserve">• </w:t>
      </w:r>
      <w:r>
        <w:rPr>
          <w:rFonts w:ascii="Arial" w:cs="Arial" w:eastAsia="Arial" w:hAnsi="Arial"/>
          <w:color w:val="1A1A1A"/>
          <w:sz w:val="19"/>
          <w:szCs w:val="19"/>
        </w:rPr>
        <w:t xml:space="preserve">Built the firm’s digital asset research function from scratch: coverage roadmap, compliance workflows, decision logs with documented assumption registers, and trigger-based monitoring. Led a four-analyst team producing ~25 long-form publications annually, weekly market updates, and investment-committee briefing materials.</w:t>
      </w:r>
    </w:p>
    <w:p>
      <w:pPr>
        <w:spacing w:after="36"/>
        <w:ind w:left="320" w:hanging="160"/>
      </w:pPr>
      <w:r>
        <w:rPr>
          <w:rFonts w:ascii="Arial" w:cs="Arial" w:eastAsia="Arial" w:hAnsi="Arial"/>
          <w:color w:val="1A1A1A"/>
          <w:sz w:val="19"/>
          <w:szCs w:val="19"/>
        </w:rPr>
        <w:t xml:space="preserve">• </w:t>
      </w:r>
      <w:r>
        <w:rPr>
          <w:rFonts w:ascii="Arial" w:cs="Arial" w:eastAsia="Arial" w:hAnsi="Arial"/>
          <w:color w:val="1A1A1A"/>
          <w:sz w:val="19"/>
          <w:szCs w:val="19"/>
        </w:rPr>
        <w:t xml:space="preserve">Supported diligence and monitoring across ~250 investments (~$500M AUM, ~10 funds) after sourcing and evaluating 1,000+ opportunities, with research coverage spanning stablecoins, tokenization, decentralized finance, governance, and capital markets structure.</w:t>
      </w:r>
    </w:p>
    <w:p>
      <w:pPr>
        <w:spacing w:after="36"/>
        <w:ind w:left="320" w:hanging="160"/>
      </w:pPr>
      <w:r>
        <w:rPr>
          <w:rFonts w:ascii="Arial" w:cs="Arial" w:eastAsia="Arial" w:hAnsi="Arial"/>
          <w:color w:val="1A1A1A"/>
          <w:sz w:val="19"/>
          <w:szCs w:val="19"/>
        </w:rPr>
        <w:t xml:space="preserve">• </w:t>
      </w:r>
      <w:r>
        <w:rPr>
          <w:rFonts w:ascii="Arial" w:cs="Arial" w:eastAsia="Arial" w:hAnsi="Arial"/>
          <w:color w:val="1A1A1A"/>
          <w:sz w:val="19"/>
          <w:szCs w:val="19"/>
        </w:rPr>
        <w:t xml:space="preserve">Forecasted $1B+ on-chain protocol collapse ~12 months early by mapping the causal chain and defining leading indicator thresholds. Prevented hostile governance capture on a top-50 Layer 1 blockchain via voting-path simulation. Identified and corrected circulating-supply misreporting that had propagated to major public data aggregators.</w:t>
      </w:r>
    </w:p>
    <w:p>
      <w:pPr>
        <w:spacing w:after="36"/>
        <w:ind w:left="320" w:hanging="160"/>
      </w:pPr>
      <w:r>
        <w:rPr>
          <w:rFonts w:ascii="Arial" w:cs="Arial" w:eastAsia="Arial" w:hAnsi="Arial"/>
          <w:color w:val="1A1A1A"/>
          <w:sz w:val="19"/>
          <w:szCs w:val="19"/>
        </w:rPr>
        <w:t xml:space="preserve">• </w:t>
      </w:r>
      <w:r>
        <w:rPr>
          <w:rFonts w:ascii="Arial" w:cs="Arial" w:eastAsia="Arial" w:hAnsi="Arial"/>
          <w:color w:val="1A1A1A"/>
          <w:sz w:val="19"/>
          <w:szCs w:val="19"/>
        </w:rPr>
        <w:t xml:space="preserve">Translated tokenized-settlement, gateway, and fee-mechanism design questions into supervisory, financial-stability, and monetary-policy terms for senior stakeholders and committee use. Contributed to a Uniswap governance working group on delegation structure, voting mechanics, and protocol fee distribution.</w:t>
      </w:r>
    </w:p>
    <w:p>
      <w:pPr>
        <w:tabs>
          <w:tab w:val="right" w:pos="10320"/>
        </w:tabs>
        <w:spacing w:after="28"/>
      </w:pPr>
      <w:r>
        <w:rPr>
          <w:rFonts w:ascii="Arial" w:cs="Arial" w:eastAsia="Arial" w:hAnsi="Arial"/>
          <w:b/>
          <w:bCs/>
          <w:color w:val="1A1A1A"/>
          <w:sz w:val="19"/>
          <w:szCs w:val="19"/>
        </w:rPr>
        <w:t xml:space="preserve">Analyst Intern</w:t>
      </w:r>
      <w:r>
        <w:rPr>
          <w:rFonts w:ascii="Arial" w:cs="Arial" w:eastAsia="Arial" w:hAnsi="Arial"/>
          <w:color w:val="1A1A1A"/>
          <w:sz w:val="19"/>
          <w:szCs w:val="19"/>
        </w:rPr>
        <w:t xml:space="preserve"> | Greenway Solutions (USAA)</w:t>
      </w:r>
      <w:r>
        <w:rPr>
          <w:rFonts w:ascii="Arial" w:cs="Arial" w:eastAsia="Arial" w:hAnsi="Arial"/>
          <w:sz w:val="19"/>
          <w:szCs w:val="19"/>
        </w:rPr>
        <w:t xml:space="preserve">	</w:t>
      </w:r>
      <w:r>
        <w:rPr>
          <w:rFonts w:ascii="Arial" w:cs="Arial" w:eastAsia="Arial" w:hAnsi="Arial"/>
          <w:i/>
          <w:iCs/>
          <w:color w:val="666666"/>
          <w:sz w:val="19"/>
          <w:szCs w:val="19"/>
        </w:rPr>
        <w:t xml:space="preserve">May – Sep 2016</w:t>
      </w:r>
    </w:p>
    <w:p>
      <w:pPr>
        <w:spacing w:after="28"/>
        <w:ind w:left="320" w:hanging="160"/>
      </w:pPr>
      <w:r>
        <w:rPr>
          <w:rFonts w:ascii="Arial" w:cs="Arial" w:eastAsia="Arial" w:hAnsi="Arial"/>
          <w:color w:val="1A1A1A"/>
          <w:sz w:val="19"/>
          <w:szCs w:val="19"/>
        </w:rPr>
        <w:t xml:space="preserve">• </w:t>
      </w:r>
      <w:r>
        <w:rPr>
          <w:rFonts w:ascii="Arial" w:cs="Arial" w:eastAsia="Arial" w:hAnsi="Arial"/>
          <w:color w:val="1A1A1A"/>
          <w:sz w:val="19"/>
          <w:szCs w:val="19"/>
        </w:rPr>
        <w:t xml:space="preserve">Benchmarked USAA fraud controls across online, mobile, and call-center channels versus 9 peer U.S. banks; delivered recommendations on funds-availability, wire-transfer, and identity-verification controls.</w:t>
      </w:r>
    </w:p>
    <w:p>
      <w:pPr>
        <w:pBdr>
          <w:bottom w:val="single" w:color="AAAAAA" w:sz="3" w:space="1"/>
        </w:pBdr>
        <w:spacing w:before="125" w:after="42"/>
      </w:pPr>
      <w:r>
        <w:rPr>
          <w:rFonts w:ascii="Arial" w:cs="Arial" w:eastAsia="Arial" w:hAnsi="Arial"/>
          <w:b/>
          <w:bCs/>
          <w:color w:val="1A1A1A"/>
          <w:sz w:val="20"/>
          <w:szCs w:val="20"/>
        </w:rPr>
        <w:t xml:space="preserve">SELECTED RESEARCH</w:t>
      </w:r>
    </w:p>
    <w:p>
      <w:pPr>
        <w:spacing w:after="28"/>
        <w:ind w:left="320" w:hanging="160"/>
      </w:pPr>
      <w:r>
        <w:rPr>
          <w:rFonts w:ascii="Arial" w:cs="Arial" w:eastAsia="Arial" w:hAnsi="Arial"/>
          <w:color w:val="1A1A1A"/>
          <w:sz w:val="19"/>
          <w:szCs w:val="19"/>
        </w:rPr>
        <w:t xml:space="preserve">• </w:t>
      </w:r>
      <w:r>
        <w:rPr>
          <w:rFonts w:ascii="Arial" w:cs="Arial" w:eastAsia="Arial" w:hAnsi="Arial"/>
          <w:b/>
          <w:bCs/>
          <w:color w:val="1A1A1A"/>
          <w:sz w:val="19"/>
          <w:szCs w:val="19"/>
        </w:rPr>
        <w:t xml:space="preserve">Routing the Dollar.</w:t>
      </w:r>
      <w:r>
        <w:rPr>
          <w:rFonts w:ascii="Arial" w:cs="Arial" w:eastAsia="Arial" w:hAnsi="Arial"/>
          <w:i/>
          <w:iCs/>
          <w:color w:val="666666"/>
          <w:sz w:val="19"/>
          <w:szCs w:val="19"/>
        </w:rPr>
        <w:t xml:space="preserve"> Submitted, Fed Reserve Board / FRBNY, June 2026. SSRN.</w:t>
      </w:r>
      <w:r>
        <w:rPr>
          <w:rFonts w:ascii="Arial" w:cs="Arial" w:eastAsia="Arial" w:hAnsi="Arial"/>
          <w:color w:val="1A1A1A"/>
          <w:sz w:val="19"/>
          <w:szCs w:val="19"/>
        </w:rPr>
        <w:t xml:space="preserve"> How gateway concentration shapes regime-dependent monetary-policy transmission and operator accountability under stress.</w:t>
      </w:r>
    </w:p>
    <w:p>
      <w:pPr>
        <w:spacing w:after="28"/>
        <w:ind w:left="320" w:hanging="160"/>
      </w:pPr>
      <w:r>
        <w:rPr>
          <w:rFonts w:ascii="Arial" w:cs="Arial" w:eastAsia="Arial" w:hAnsi="Arial"/>
          <w:color w:val="1A1A1A"/>
          <w:sz w:val="19"/>
          <w:szCs w:val="19"/>
        </w:rPr>
        <w:t xml:space="preserve">• </w:t>
      </w:r>
      <w:r>
        <w:rPr>
          <w:rFonts w:ascii="Arial" w:cs="Arial" w:eastAsia="Arial" w:hAnsi="Arial"/>
          <w:b/>
          <w:bCs/>
          <w:color w:val="1A1A1A"/>
          <w:sz w:val="19"/>
          <w:szCs w:val="19"/>
        </w:rPr>
        <w:t xml:space="preserve">Minimum Viable Equivalence Packs.</w:t>
      </w:r>
      <w:r>
        <w:rPr>
          <w:rFonts w:ascii="Arial" w:cs="Arial" w:eastAsia="Arial" w:hAnsi="Arial"/>
          <w:i/>
          <w:iCs/>
          <w:color w:val="666666"/>
          <w:sz w:val="19"/>
          <w:szCs w:val="19"/>
        </w:rPr>
        <w:t xml:space="preserve"> SSRN.</w:t>
      </w:r>
      <w:r>
        <w:rPr>
          <w:rFonts w:ascii="Arial" w:cs="Arial" w:eastAsia="Arial" w:hAnsi="Arial"/>
          <w:color w:val="1A1A1A"/>
          <w:sz w:val="19"/>
          <w:szCs w:val="19"/>
        </w:rPr>
        <w:t xml:space="preserve"> Nine-category diligence standard for tokenized products, anchored on the SVB weekend’s cascading infrastructure failures.</w:t>
      </w:r>
    </w:p>
    <w:p>
      <w:pPr>
        <w:spacing w:after="28"/>
        <w:ind w:left="320" w:hanging="160"/>
      </w:pPr>
      <w:r>
        <w:rPr>
          <w:rFonts w:ascii="Arial" w:cs="Arial" w:eastAsia="Arial" w:hAnsi="Arial"/>
          <w:color w:val="1A1A1A"/>
          <w:sz w:val="19"/>
          <w:szCs w:val="19"/>
        </w:rPr>
        <w:t xml:space="preserve">• </w:t>
      </w:r>
      <w:r>
        <w:rPr>
          <w:rFonts w:ascii="Arial" w:cs="Arial" w:eastAsia="Arial" w:hAnsi="Arial"/>
          <w:b/>
          <w:bCs/>
          <w:color w:val="1A1A1A"/>
          <w:sz w:val="19"/>
          <w:szCs w:val="19"/>
        </w:rPr>
        <w:t xml:space="preserve">Dollar v3 / The Control Layer War.</w:t>
      </w:r>
      <w:r>
        <w:rPr>
          <w:rFonts w:ascii="Arial" w:cs="Arial" w:eastAsia="Arial" w:hAnsi="Arial"/>
          <w:i/>
          <w:iCs/>
          <w:color w:val="666666"/>
          <w:sz w:val="19"/>
          <w:szCs w:val="19"/>
        </w:rPr>
        <w:t xml:space="preserve"> Published.</w:t>
      </w:r>
      <w:r>
        <w:rPr>
          <w:rFonts w:ascii="Arial" w:cs="Arial" w:eastAsia="Arial" w:hAnsi="Arial"/>
          <w:color w:val="1A1A1A"/>
          <w:sz w:val="19"/>
          <w:szCs w:val="19"/>
        </w:rPr>
        <w:t xml:space="preserve"> How CLARITY and GENIUS provisions attach regulatory obligations to control-layer infrastructure.</w:t>
      </w:r>
    </w:p>
    <w:p>
      <w:pPr>
        <w:pBdr>
          <w:bottom w:val="single" w:color="AAAAAA" w:sz="3" w:space="1"/>
        </w:pBdr>
        <w:spacing w:before="125" w:after="42"/>
      </w:pPr>
      <w:r>
        <w:rPr>
          <w:rFonts w:ascii="Arial" w:cs="Arial" w:eastAsia="Arial" w:hAnsi="Arial"/>
          <w:b/>
          <w:bCs/>
          <w:color w:val="1A1A1A"/>
          <w:sz w:val="20"/>
          <w:szCs w:val="20"/>
        </w:rPr>
        <w:t xml:space="preserve">TECHNICAL</w:t>
      </w:r>
    </w:p>
    <w:p>
      <w:pPr>
        <w:spacing w:after="22"/>
      </w:pPr>
      <w:r>
        <w:rPr>
          <w:rFonts w:ascii="Arial" w:cs="Arial" w:eastAsia="Arial" w:hAnsi="Arial"/>
          <w:b/>
          <w:bCs/>
          <w:color w:val="1A1A1A"/>
          <w:sz w:val="18"/>
          <w:szCs w:val="18"/>
        </w:rPr>
        <w:t xml:space="preserve">Methods: </w:t>
      </w:r>
      <w:r>
        <w:rPr>
          <w:rFonts w:ascii="Arial" w:cs="Arial" w:eastAsia="Arial" w:hAnsi="Arial"/>
          <w:color w:val="1A1A1A"/>
          <w:sz w:val="18"/>
          <w:szCs w:val="18"/>
        </w:rPr>
        <w:t xml:space="preserve">Johansen cointegration / vector error correction, Monte Carlo simulation, concentration analysis (HHI, Gini), mean-reversion and scenario modeling</w:t>
      </w:r>
    </w:p>
    <w:p>
      <w:pPr>
        <w:spacing w:after="22"/>
      </w:pPr>
      <w:r>
        <w:rPr>
          <w:rFonts w:ascii="Arial" w:cs="Arial" w:eastAsia="Arial" w:hAnsi="Arial"/>
          <w:b/>
          <w:bCs/>
          <w:color w:val="1A1A1A"/>
          <w:sz w:val="18"/>
          <w:szCs w:val="18"/>
        </w:rPr>
        <w:t xml:space="preserve">Data: </w:t>
      </w:r>
      <w:r>
        <w:rPr>
          <w:rFonts w:ascii="Arial" w:cs="Arial" w:eastAsia="Arial" w:hAnsi="Arial"/>
          <w:color w:val="1A1A1A"/>
          <w:sz w:val="18"/>
          <w:szCs w:val="18"/>
        </w:rPr>
        <w:t xml:space="preserve">Dune Analytics, Nansen Pro, Artemis, DefiLlama, FRED, CoinGecko, Helius, Spacescope, rated.network, Beaconcha.in</w:t>
      </w:r>
    </w:p>
    <w:p>
      <w:pPr>
        <w:spacing w:after="22"/>
      </w:pPr>
      <w:r>
        <w:rPr>
          <w:rFonts w:ascii="Arial" w:cs="Arial" w:eastAsia="Arial" w:hAnsi="Arial"/>
          <w:b/>
          <w:bCs/>
          <w:color w:val="1A1A1A"/>
          <w:sz w:val="18"/>
          <w:szCs w:val="18"/>
        </w:rPr>
        <w:t xml:space="preserve">Languages: </w:t>
      </w:r>
      <w:r>
        <w:rPr>
          <w:rFonts w:ascii="Arial" w:cs="Arial" w:eastAsia="Arial" w:hAnsi="Arial"/>
          <w:color w:val="1A1A1A"/>
          <w:sz w:val="18"/>
          <w:szCs w:val="18"/>
        </w:rPr>
        <w:t xml:space="preserve">Python (pandas, statsmodels, scipy, matplotlib), SQL (DuneSQL, Trino), JavaScript/TypeScript, Excel</w:t>
      </w:r>
    </w:p>
    <w:p>
      <w:pPr>
        <w:spacing w:after="22"/>
      </w:pPr>
      <w:r>
        <w:rPr>
          <w:rFonts w:ascii="Arial" w:cs="Arial" w:eastAsia="Arial" w:hAnsi="Arial"/>
          <w:b/>
          <w:bCs/>
          <w:color w:val="1A1A1A"/>
          <w:sz w:val="18"/>
          <w:szCs w:val="18"/>
        </w:rPr>
        <w:t xml:space="preserve">Infrastructure: </w:t>
      </w:r>
      <w:r>
        <w:rPr>
          <w:rFonts w:ascii="Arial" w:cs="Arial" w:eastAsia="Arial" w:hAnsi="Arial"/>
          <w:color w:val="1A1A1A"/>
          <w:sz w:val="18"/>
          <w:szCs w:val="18"/>
        </w:rPr>
        <w:t xml:space="preserve">10 custom Python MCP servers (FRED, DefiLlama, CoinGecko, Nansen, etc.), Claude Code, Cursor, Git/GitHub</w:t>
      </w:r>
    </w:p>
    <w:p>
      <w:pPr>
        <w:pBdr>
          <w:bottom w:val="single" w:color="AAAAAA" w:sz="3" w:space="1"/>
        </w:pBdr>
        <w:spacing w:before="130" w:after="45"/>
      </w:pPr>
      <w:r>
        <w:rPr>
          <w:rFonts w:ascii="Arial" w:cs="Arial" w:eastAsia="Arial" w:hAnsi="Arial"/>
          <w:b/>
          <w:bCs/>
          <w:color w:val="1A1A1A"/>
          <w:sz w:val="20"/>
          <w:szCs w:val="20"/>
        </w:rPr>
        <w:t xml:space="preserve">EDUCATION</w:t>
      </w:r>
    </w:p>
    <w:p>
      <w:pPr>
        <w:tabs>
          <w:tab w:val="right" w:pos="10320"/>
        </w:tabs>
        <w:spacing w:after="0"/>
      </w:pPr>
      <w:r>
        <w:rPr>
          <w:rFonts w:ascii="Arial" w:cs="Arial" w:eastAsia="Arial" w:hAnsi="Arial"/>
          <w:b/>
          <w:bCs/>
          <w:color w:val="1A1A1A"/>
          <w:sz w:val="19"/>
          <w:szCs w:val="19"/>
        </w:rPr>
        <w:t xml:space="preserve">High Point University</w:t>
      </w:r>
      <w:r>
        <w:rPr>
          <w:rFonts w:ascii="Arial" w:cs="Arial" w:eastAsia="Arial" w:hAnsi="Arial"/>
          <w:color w:val="1A1A1A"/>
          <w:sz w:val="19"/>
          <w:szCs w:val="19"/>
        </w:rPr>
        <w:t xml:space="preserve"> | B.S.B.A., Business Administration (Magna Cum Laude)</w:t>
      </w:r>
      <w:r>
        <w:rPr>
          <w:rFonts w:ascii="Arial" w:cs="Arial" w:eastAsia="Arial" w:hAnsi="Arial"/>
          <w:sz w:val="19"/>
          <w:szCs w:val="19"/>
        </w:rPr>
        <w:t xml:space="preserve">	</w:t>
      </w:r>
      <w:r>
        <w:rPr>
          <w:rFonts w:ascii="Arial" w:cs="Arial" w:eastAsia="Arial" w:hAnsi="Arial"/>
          <w:i/>
          <w:iCs/>
          <w:color w:val="666666"/>
          <w:sz w:val="19"/>
          <w:szCs w:val="19"/>
        </w:rPr>
        <w:t xml:space="preserve">2018</w:t>
      </w:r>
    </w:p>
    <w:p>
      <w:pPr>
        <w:spacing w:after="0"/>
      </w:pPr>
      <w:r>
        <w:rPr>
          <w:rFonts w:ascii="Arial" w:cs="Arial" w:eastAsia="Arial" w:hAnsi="Arial"/>
          <w:color w:val="444444"/>
          <w:sz w:val="18"/>
          <w:szCs w:val="18"/>
        </w:rPr>
        <w:t xml:space="preserve">Investment Club President | Lingnan University, Hong Kong (Exchange)</w:t>
      </w:r>
    </w:p>
    <w:sectPr>
      <w:pgSz w:w="12240" w:h="15840" w:orient="portrait"/>
      <w:pgMar w:top="560" w:right="960" w:bottom="440" w:left="9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l2mfd3v9zedjhok7kvcpb" Type="http://schemas.openxmlformats.org/officeDocument/2006/relationships/hyperlink" Target="https://tokenization.systems" TargetMode="External"/><Relationship Id="rIdv0hbkaxebreghp0ezpgrj" Type="http://schemas.openxmlformats.org/officeDocument/2006/relationships/hyperlink" Target="https://linkedin.com/in/zachzukowski" TargetMode="External"/><Relationship Id="rId-mewv3mts_6gjgvfbxlil" Type="http://schemas.openxmlformats.org/officeDocument/2006/relationships/hyperlink" Target="https://papers.ssrn.com/sol3/cf_dev/AbsByAuth.cfm?per_id=7810362" TargetMode="External"/><Relationship Id="rId9"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2026-03-25T00:23:39.603Z</dcterms:created>
  <dcterms:modified xsi:type="dcterms:W3CDTF">2026-03-25T00:23:39.604Z</dcterms:modified>
</cp:coreProperties>
</file>

<file path=docProps/custom.xml><?xml version="1.0" encoding="utf-8"?>
<Properties xmlns="http://schemas.openxmlformats.org/officeDocument/2006/custom-properties" xmlns:vt="http://schemas.openxmlformats.org/officeDocument/2006/docPropsVTypes"/>
</file>